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471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закупочной комиссии</w:t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«02» июня 2026 г.</w:t>
            </w:r>
            <w:r>
              <w:rPr>
                <w:color w:val="000000"/>
              </w:rPr>
            </w:r>
          </w:p>
        </w:tc>
      </w:tr>
    </w:tbl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left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1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</w:p>
    <w:p>
      <w:pPr>
        <w:jc w:val="center"/>
        <w:spacing w:after="120"/>
      </w:pPr>
      <w:r>
        <w:t xml:space="preserve">на 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 АО «Россети Янтарь» (Лот № 1.1.16р)</w:t>
      </w:r>
      <w:r/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311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Калининград</w:t>
      </w:r>
      <w:r>
        <w:rPr>
          <w:bCs/>
        </w:rPr>
        <w:br/>
      </w:r>
      <w:r>
        <w:rPr>
          <w:b/>
          <w:bCs/>
        </w:rPr>
        <w:t xml:space="preserve">2026 год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</w:p>
    <w:p>
      <w:pPr>
        <w:pStyle w:val="1117"/>
        <w:ind w:left="567" w:firstLine="0"/>
        <w:keepNext w:val="0"/>
        <w:spacing w:before="0" w:after="0"/>
        <w:tabs>
          <w:tab w:val="clear" w:pos="432" w:leader="none"/>
        </w:tabs>
        <w:rPr>
          <w:rStyle w:val="1288"/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/>
      <w:bookmarkStart w:id="0" w:name="_Toc1"/>
      <w:r>
        <w:rPr>
          <w:rStyle w:val="1288"/>
          <w:rFonts w:ascii="Times New Roman" w:hAnsi="Times New Roman" w:cs="Times New Roman"/>
          <w:caps/>
          <w:color w:val="auto"/>
          <w:sz w:val="24"/>
          <w:szCs w:val="24"/>
        </w:rPr>
        <w:t xml:space="preserve">СОДЕРЖАНИЕ</w:t>
      </w:r>
      <w:bookmarkEnd w:id="0"/>
      <w:r/>
      <w:r>
        <w:rPr>
          <w:rStyle w:val="1288"/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307"/>
        <w:rPr>
          <w:rStyle w:val="1288"/>
          <w:rFonts w:ascii="Times New Roman" w:hAnsi="Times New Roman" w:cs="Times New Roman"/>
        </w:rPr>
      </w:pPr>
      <w:r>
        <w:rPr>
          <w:i/>
          <w:iCs/>
          <w:smallCaps/>
          <w:sz w:val="24"/>
          <w:szCs w:val="24"/>
        </w:rPr>
        <w:fldChar w:fldCharType="begin"/>
      </w:r>
      <w:r>
        <w:rPr>
          <w:i/>
          <w:iCs/>
          <w:smallCaps/>
          <w:sz w:val="24"/>
          <w:szCs w:val="24"/>
        </w:rPr>
        <w:instrText xml:space="preserve"> TOC \o "1-2" \h \z \u </w:instrText>
      </w:r>
      <w:r>
        <w:rPr>
          <w:i/>
          <w:iCs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337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/>
      <w:r>
        <w:rPr>
          <w:rStyle w:val="1288"/>
          <w:rFonts w:ascii="Times New Roman" w:hAnsi="Times New Roman" w:cs="Times New Roman"/>
        </w:rPr>
      </w:r>
    </w:p>
    <w:p>
      <w:pPr>
        <w:pStyle w:val="1307"/>
        <w:tabs>
          <w:tab w:val="left" w:pos="567" w:leader="none"/>
        </w:tabs>
        <w:rPr>
          <w:rStyle w:val="1288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337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Style w:val="1288"/>
        </w:rPr>
      </w:r>
    </w:p>
    <w:p>
      <w:pPr>
        <w:pStyle w:val="1307"/>
        <w:tabs>
          <w:tab w:val="left" w:pos="567" w:leader="none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337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337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337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337"/>
          </w:rPr>
          <w:t xml:space="preserve">Начальная (максимальная) цена договора (цена лота) 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337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337"/>
          </w:rPr>
          <w:t xml:space="preserve">Привлечение соисполнителей (субподрядчиков)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337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337"/>
          </w:rPr>
  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11" w:anchor="_Toc11" w:history="1">
        <w:r>
          <w:t xml:space="preserve">1.8.</w:t>
        </w:r>
        <w:r>
          <w:tab/>
        </w:r>
        <w:r>
          <w:rPr>
            <w:rStyle w:val="1337"/>
          </w:rPr>
          <w:t xml:space="preserve">Антимонопольная оговорка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07"/>
        <w:tabs>
          <w:tab w:val="left" w:pos="567" w:leader="none"/>
        </w:tabs>
      </w:pPr>
      <w:r/>
      <w:hyperlink w:tooltip="#_Toc12" w:anchor="_Toc12" w:history="1">
        <w:r>
          <w:t xml:space="preserve">2.</w:t>
        </w:r>
        <w:r>
          <w:tab/>
        </w:r>
        <w:r>
          <w:rPr>
            <w:rStyle w:val="1337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13" w:anchor="_Toc13" w:history="1">
        <w:r>
          <w:t xml:space="preserve">2.1.</w:t>
        </w:r>
        <w:r>
          <w:tab/>
        </w:r>
        <w:r>
          <w:rPr>
            <w:rStyle w:val="1337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14" w:anchor="_Toc14" w:history="1">
        <w:r>
          <w:t xml:space="preserve">2.2.</w:t>
        </w:r>
        <w:r>
          <w:tab/>
        </w:r>
        <w:r>
          <w:rPr>
            <w:rStyle w:val="1337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15" w:anchor="_Toc15" w:history="1">
        <w:r>
          <w:t xml:space="preserve">2.3.</w:t>
        </w:r>
        <w:r>
          <w:tab/>
        </w:r>
        <w:r>
          <w:rPr>
            <w:rStyle w:val="1337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16" w:anchor="_Toc16" w:history="1">
        <w:r>
          <w:t xml:space="preserve">2.4.</w:t>
        </w:r>
        <w:r>
          <w:tab/>
        </w:r>
        <w:r>
          <w:rPr>
            <w:rStyle w:val="1337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07"/>
        <w:tabs>
          <w:tab w:val="left" w:pos="567" w:leader="none"/>
        </w:tabs>
      </w:pPr>
      <w:r/>
      <w:hyperlink w:tooltip="#_Toc17" w:anchor="_Toc17" w:history="1">
        <w:r>
          <w:t xml:space="preserve">3.</w:t>
        </w:r>
        <w:r>
          <w:tab/>
        </w:r>
        <w:r>
          <w:rPr>
            <w:rStyle w:val="1337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18" w:anchor="_Toc18" w:history="1">
        <w:r>
          <w:t xml:space="preserve">3.1.</w:t>
        </w:r>
        <w:r>
          <w:tab/>
        </w:r>
        <w:r>
          <w:rPr>
            <w:rStyle w:val="1337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19" w:anchor="_Toc19" w:history="1">
        <w:r>
          <w:t xml:space="preserve">3.2.</w:t>
        </w:r>
        <w:r>
          <w:tab/>
        </w:r>
        <w:r>
          <w:rPr>
            <w:rStyle w:val="1337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20" w:anchor="_Toc20" w:history="1">
        <w:r>
          <w:t xml:space="preserve">3.3.</w:t>
        </w:r>
        <w:r>
          <w:tab/>
        </w:r>
        <w:r>
          <w:rPr>
            <w:rStyle w:val="1337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21" w:anchor="_Toc21" w:history="1">
        <w:r>
          <w:t xml:space="preserve">3.4.</w:t>
        </w:r>
        <w:r>
          <w:tab/>
        </w:r>
        <w:r>
          <w:rPr>
            <w:rStyle w:val="1337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22" w:anchor="_Toc22" w:history="1">
        <w:r>
          <w:t xml:space="preserve">3.5.</w:t>
        </w:r>
        <w:r>
          <w:tab/>
        </w:r>
        <w:r>
          <w:rPr>
            <w:rStyle w:val="1337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23" w:anchor="_Toc23" w:history="1">
        <w:r>
          <w:t xml:space="preserve">3.6.</w:t>
        </w:r>
        <w:r>
          <w:tab/>
        </w:r>
        <w:r>
          <w:rPr>
            <w:rStyle w:val="1337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24" w:anchor="_Toc24" w:history="1">
        <w:r>
          <w:t xml:space="preserve">3.7.</w:t>
        </w:r>
        <w:r>
          <w:tab/>
        </w:r>
        <w:r>
          <w:rPr>
            <w:rStyle w:val="1337"/>
          </w:rPr>
  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1307"/>
        <w:tabs>
          <w:tab w:val="left" w:pos="567" w:leader="none"/>
        </w:tabs>
      </w:pPr>
      <w:r/>
      <w:hyperlink w:tooltip="#_Toc25" w:anchor="_Toc25" w:history="1">
        <w:r>
          <w:t xml:space="preserve">4.</w:t>
        </w:r>
        <w:r>
          <w:tab/>
        </w:r>
        <w:r>
          <w:rPr>
            <w:rStyle w:val="1337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26" w:anchor="_Toc26" w:history="1">
        <w:r>
          <w:t xml:space="preserve">4.1.</w:t>
        </w:r>
        <w:r>
          <w:tab/>
        </w:r>
        <w:r>
          <w:rPr>
            <w:rStyle w:val="1337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27" w:anchor="_Toc27" w:history="1">
        <w:r>
          <w:t xml:space="preserve">4.2.</w:t>
        </w:r>
        <w:r>
          <w:tab/>
        </w:r>
        <w:r>
          <w:rPr>
            <w:rStyle w:val="1337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07"/>
        <w:tabs>
          <w:tab w:val="left" w:pos="567" w:leader="none"/>
        </w:tabs>
      </w:pPr>
      <w:r/>
      <w:hyperlink w:tooltip="#_Toc28" w:anchor="_Toc28" w:history="1">
        <w:r>
          <w:t xml:space="preserve">5.</w:t>
        </w:r>
        <w:r>
          <w:tab/>
        </w:r>
        <w:r>
          <w:rPr>
            <w:rStyle w:val="1337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29" w:anchor="_Toc29" w:history="1">
        <w:r>
          <w:t xml:space="preserve">5.1.</w:t>
        </w:r>
        <w:r>
          <w:tab/>
        </w:r>
        <w:r>
          <w:rPr>
            <w:rStyle w:val="1337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30" w:anchor="_Toc30" w:history="1">
        <w:r>
          <w:t xml:space="preserve">5.2.</w:t>
        </w:r>
        <w:r>
          <w:tab/>
        </w:r>
        <w:r>
          <w:rPr>
            <w:rStyle w:val="1337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31" w:anchor="_Toc31" w:history="1">
        <w:r>
          <w:t xml:space="preserve">5.3.</w:t>
        </w:r>
        <w:r>
          <w:tab/>
        </w:r>
        <w:r>
          <w:rPr>
            <w:rStyle w:val="1337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32" w:anchor="_Toc32" w:history="1">
        <w:r>
          <w:t xml:space="preserve">5.4.</w:t>
        </w:r>
        <w:r>
          <w:tab/>
        </w:r>
        <w:r>
          <w:rPr>
            <w:rStyle w:val="1337"/>
          </w:rPr>
          <w:t xml:space="preserve">Особенности осуществления рассмотрения общих частей заявок.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33" w:anchor="_Toc33" w:history="1">
        <w:r>
          <w:t xml:space="preserve">5.5.</w:t>
        </w:r>
        <w:r>
          <w:tab/>
        </w:r>
        <w:r>
          <w:rPr>
            <w:rStyle w:val="1337"/>
          </w:rPr>
          <w:t xml:space="preserve">Особенности осуществления рассмотрения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34" w:anchor="_Toc34" w:history="1">
        <w:r>
          <w:t xml:space="preserve">5.6.</w:t>
        </w:r>
        <w:r>
          <w:tab/>
        </w:r>
        <w:r>
          <w:rPr>
            <w:rStyle w:val="1337"/>
          </w:rPr>
          <w:t xml:space="preserve">Переторжка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35" w:anchor="_Toc35" w:history="1">
        <w:r>
          <w:t xml:space="preserve">5.7.</w:t>
        </w:r>
        <w:r>
          <w:tab/>
        </w:r>
        <w:r>
          <w:rPr>
            <w:rStyle w:val="1337"/>
          </w:rPr>
          <w:t xml:space="preserve">Подведение итогов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36" w:anchor="_Toc36" w:history="1">
        <w:r>
          <w:t xml:space="preserve">5.8.</w:t>
        </w:r>
        <w:r>
          <w:tab/>
        </w:r>
        <w:r>
          <w:rPr>
            <w:rStyle w:val="1337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37" w:anchor="_Toc37" w:history="1">
        <w:r>
          <w:t xml:space="preserve">5.9.</w:t>
        </w:r>
        <w:r>
          <w:tab/>
        </w:r>
        <w:r>
          <w:rPr>
            <w:rStyle w:val="1337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07"/>
        <w:tabs>
          <w:tab w:val="left" w:pos="567" w:leader="none"/>
        </w:tabs>
      </w:pPr>
      <w:r/>
      <w:hyperlink w:tooltip="#_Toc38" w:anchor="_Toc38" w:history="1">
        <w:r>
          <w:t xml:space="preserve">6.</w:t>
        </w:r>
        <w:r>
          <w:tab/>
        </w:r>
        <w:r>
          <w:rPr>
            <w:rStyle w:val="1337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39" w:anchor="_Toc39" w:history="1">
        <w:r>
          <w:t xml:space="preserve">6.1.</w:t>
        </w:r>
        <w:r>
          <w:tab/>
        </w:r>
        <w:r>
          <w:rPr>
            <w:rStyle w:val="1337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40" w:anchor="_Toc40" w:history="1">
        <w:r>
          <w:t xml:space="preserve">6.2.</w:t>
        </w:r>
        <w:r>
          <w:tab/>
        </w:r>
        <w:r>
          <w:rPr>
            <w:rStyle w:val="1337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41" w:anchor="_Toc41" w:history="1">
        <w:r>
          <w:t xml:space="preserve">6.3.</w:t>
        </w:r>
        <w:r>
          <w:tab/>
        </w:r>
        <w:r>
          <w:rPr>
            <w:rStyle w:val="1337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42" w:anchor="_Toc42" w:history="1">
        <w:r>
          <w:t xml:space="preserve">6.4.</w:t>
        </w:r>
        <w:r>
          <w:tab/>
        </w:r>
        <w:r>
          <w:rPr>
            <w:rStyle w:val="1337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43" w:anchor="_Toc43" w:history="1">
        <w:r>
          <w:t xml:space="preserve">6.5.</w:t>
        </w:r>
        <w:r>
          <w:tab/>
        </w:r>
        <w:r>
          <w:rPr>
            <w:rStyle w:val="1337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/>
      <w:r/>
    </w:p>
    <w:p>
      <w:pPr>
        <w:pStyle w:val="1308"/>
        <w:tabs>
          <w:tab w:val="left" w:pos="850" w:leader="none"/>
        </w:tabs>
      </w:pPr>
      <w:r/>
      <w:hyperlink w:tooltip="#_Toc44" w:anchor="_Toc44" w:history="1">
        <w:r>
          <w:t xml:space="preserve">6.6.</w:t>
        </w:r>
        <w:r>
          <w:tab/>
        </w:r>
        <w:r>
          <w:rPr>
            <w:rStyle w:val="1337"/>
          </w:rPr>
          <w:t xml:space="preserve">Закупка продукции с разбиением заказа на лоты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/>
      <w:r/>
    </w:p>
    <w:p>
      <w:pPr>
        <w:pStyle w:val="1307"/>
        <w:tabs>
          <w:tab w:val="left" w:pos="567" w:leader="none"/>
        </w:tabs>
        <w:rPr>
          <w:rStyle w:val="1288"/>
          <w:rFonts w:ascii="Times New Roman" w:hAnsi="Times New Roman" w:cs="Times New Roman"/>
        </w:rPr>
      </w:pPr>
      <w:r/>
      <w:hyperlink w:tooltip="#_Toc45" w:anchor="_Toc45" w:history="1">
        <w:r>
          <w:t xml:space="preserve">II.</w:t>
        </w:r>
        <w:r>
          <w:tab/>
        </w:r>
        <w:r>
          <w:rPr>
            <w:rStyle w:val="1337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/>
      <w:r>
        <w:rPr>
          <w:rStyle w:val="1288"/>
          <w:rFonts w:ascii="Times New Roman" w:hAnsi="Times New Roman" w:cs="Times New Roman"/>
        </w:rPr>
      </w:r>
    </w:p>
    <w:p>
      <w:pPr>
        <w:pStyle w:val="1307"/>
        <w:tabs>
          <w:tab w:val="left" w:pos="567" w:leader="none"/>
        </w:tabs>
        <w:rPr>
          <w:rStyle w:val="1288"/>
          <w:rFonts w:ascii="Times New Roman" w:hAnsi="Times New Roman" w:cs="Times New Roman"/>
        </w:rPr>
      </w:pPr>
      <w:r/>
      <w:hyperlink w:tooltip="#_Toc46" w:anchor="_Toc46" w:history="1">
        <w:r>
          <w:t xml:space="preserve">III.</w:t>
        </w:r>
        <w:r>
          <w:tab/>
        </w:r>
        <w:r>
          <w:rPr>
            <w:rStyle w:val="1337"/>
          </w:rPr>
          <w:t xml:space="preserve">ОБРАЗЦЫ ФОРМ ДЛЯ ЗАПОЛНЕНИЯ УЧАСТНИКАМИ ЗАКУПКИ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49</w:t>
        </w:r>
        <w:r>
          <w:fldChar w:fldCharType="end"/>
        </w:r>
      </w:hyperlink>
      <w:r/>
      <w:r>
        <w:rPr>
          <w:rStyle w:val="1288"/>
          <w:rFonts w:ascii="Times New Roman" w:hAnsi="Times New Roman" w:cs="Times New Roman"/>
        </w:rPr>
      </w:r>
    </w:p>
    <w:p>
      <w:pPr>
        <w:pStyle w:val="1308"/>
      </w:pPr>
      <w:r/>
      <w:hyperlink w:tooltip="#_Toc47" w:anchor="_Toc47" w:history="1">
        <w:r>
          <w:rPr>
            <w:rStyle w:val="1337"/>
          </w:rPr>
          <w:t xml:space="preserve">ФОРМА ТЕХНИЧЕСКОЕ ПРЕДЛОЖЕНИЕ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49</w:t>
        </w:r>
        <w:r>
          <w:fldChar w:fldCharType="end"/>
        </w:r>
      </w:hyperlink>
      <w:r/>
      <w:r/>
    </w:p>
    <w:p>
      <w:pPr>
        <w:pStyle w:val="1308"/>
      </w:pPr>
      <w:r/>
      <w:hyperlink w:tooltip="#_Toc48" w:anchor="_Toc48" w:history="1">
        <w:r>
          <w:rPr>
            <w:rStyle w:val="1337"/>
          </w:rPr>
          <w:t xml:space="preserve">ФОРМА ПИСЬМО О ПОДАЧЕ ОФЕРТЫ</w:t>
        </w:r>
        <w:r>
          <w:tab/>
        </w:r>
        <w:r>
          <w:fldChar w:fldCharType="begin"/>
        </w:r>
        <w:r>
          <w:instrText xml:space="preserve">PAGEREF _Toc48 \h</w:instrText>
        </w:r>
        <w:r>
          <w:fldChar w:fldCharType="separate"/>
        </w:r>
        <w:r>
          <w:t xml:space="preserve">50</w:t>
        </w:r>
        <w:r>
          <w:fldChar w:fldCharType="end"/>
        </w:r>
      </w:hyperlink>
      <w:r/>
      <w:r/>
    </w:p>
    <w:p>
      <w:pPr>
        <w:pStyle w:val="1308"/>
      </w:pPr>
      <w:r/>
      <w:hyperlink w:tooltip="#_Toc49" w:anchor="_Toc49" w:history="1">
        <w:r>
          <w:rPr>
            <w:rStyle w:val="1337"/>
          </w:rPr>
  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  </w:r>
        <w:r>
          <w:tab/>
        </w:r>
        <w:r>
          <w:fldChar w:fldCharType="begin"/>
        </w:r>
        <w:r>
          <w:instrText xml:space="preserve">PAGEREF _Toc49 \h</w:instrText>
        </w:r>
        <w:r>
          <w:fldChar w:fldCharType="separate"/>
        </w:r>
        <w:r>
          <w:t xml:space="preserve">53</w:t>
        </w:r>
        <w:r>
          <w:fldChar w:fldCharType="end"/>
        </w:r>
      </w:hyperlink>
      <w:r/>
      <w:r/>
    </w:p>
    <w:p>
      <w:pPr>
        <w:pStyle w:val="1308"/>
      </w:pPr>
      <w:r/>
      <w:hyperlink w:tooltip="#_Toc50" w:anchor="_Toc50" w:history="1">
        <w:r>
          <w:rPr>
            <w:rStyle w:val="1337"/>
          </w:rPr>
          <w:t xml:space="preserve">ФОРМА АНКЕТА УЧАСТНИКА ЗАКУПКИ</w:t>
        </w:r>
        <w:r>
          <w:tab/>
        </w:r>
        <w:r>
          <w:fldChar w:fldCharType="begin"/>
        </w:r>
        <w:r>
          <w:instrText xml:space="preserve">PAGEREF _Toc50 \h</w:instrText>
        </w:r>
        <w:r>
          <w:fldChar w:fldCharType="separate"/>
        </w:r>
        <w:r>
          <w:t xml:space="preserve">55</w:t>
        </w:r>
        <w:r>
          <w:fldChar w:fldCharType="end"/>
        </w:r>
      </w:hyperlink>
      <w:r/>
      <w:r/>
    </w:p>
    <w:p>
      <w:pPr>
        <w:pStyle w:val="1308"/>
      </w:pPr>
      <w:r/>
      <w:hyperlink w:tooltip="#_Toc51" w:anchor="_Toc51" w:history="1">
        <w:r>
          <w:rPr>
            <w:rStyle w:val="1337"/>
          </w:rPr>
  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  </w:r>
        <w:r>
          <w:tab/>
        </w:r>
        <w:r>
          <w:fldChar w:fldCharType="begin"/>
        </w:r>
        <w:r>
          <w:instrText xml:space="preserve">PAGEREF _Toc51 \h</w:instrText>
        </w:r>
        <w:r>
          <w:fldChar w:fldCharType="separate"/>
        </w:r>
        <w:r>
          <w:t xml:space="preserve">59</w:t>
        </w:r>
        <w:r>
          <w:fldChar w:fldCharType="end"/>
        </w:r>
      </w:hyperlink>
      <w:r/>
      <w:r/>
    </w:p>
    <w:p>
      <w:pPr>
        <w:pStyle w:val="1308"/>
      </w:pPr>
      <w:r/>
      <w:hyperlink w:tooltip="#_Toc52" w:anchor="_Toc52" w:history="1">
        <w:r>
          <w:rPr>
            <w:rStyle w:val="1337"/>
          </w:rPr>
          <w:t xml:space="preserve">ФОРМА СПРАВКА (ИНФОРМАЦИЯ) О СОБСТВЕННИКАХ УЧАСТНИКА ЗАКУПКИ (ВКЛЮЧАЯ КОНЕЧНЫХ БЕНЕФИЦИАРОВ)</w:t>
        </w:r>
        <w:r>
          <w:tab/>
        </w:r>
        <w:r>
          <w:fldChar w:fldCharType="begin"/>
        </w:r>
        <w:r>
          <w:instrText xml:space="preserve">PAGEREF _Toc52 \h</w:instrText>
        </w:r>
        <w:r>
          <w:fldChar w:fldCharType="separate"/>
        </w:r>
        <w:r>
          <w:t xml:space="preserve">60</w:t>
        </w:r>
        <w:r>
          <w:fldChar w:fldCharType="end"/>
        </w:r>
      </w:hyperlink>
      <w:r/>
      <w:r/>
    </w:p>
    <w:p>
      <w:pPr>
        <w:pStyle w:val="1308"/>
      </w:pPr>
      <w:r/>
      <w:hyperlink w:tooltip="#_Toc53" w:anchor="_Toc53" w:history="1">
        <w:r>
          <w:rPr>
            <w:rStyle w:val="1337"/>
          </w:rPr>
          <w:t xml:space="preserve">ФОРМА СОГЛАСИЕ НА ОБРАБОТКУ ПЕРСОНАЛЬНЫХ ДАННЫХ</w:t>
        </w:r>
        <w:r>
          <w:tab/>
        </w:r>
        <w:r>
          <w:fldChar w:fldCharType="begin"/>
        </w:r>
        <w:r>
          <w:instrText xml:space="preserve">PAGEREF _Toc53 \h</w:instrText>
        </w:r>
        <w:r>
          <w:fldChar w:fldCharType="separate"/>
        </w:r>
        <w:r>
          <w:t xml:space="preserve">65</w:t>
        </w:r>
        <w:r>
          <w:fldChar w:fldCharType="end"/>
        </w:r>
      </w:hyperlink>
      <w:r/>
      <w:r/>
    </w:p>
    <w:p>
      <w:pPr>
        <w:pStyle w:val="1308"/>
      </w:pPr>
      <w:r/>
      <w:hyperlink w:tooltip="#_Toc54" w:anchor="_Toc54" w:history="1">
        <w:r>
          <w:rPr>
            <w:rStyle w:val="1337"/>
          </w:rPr>
          <w:t xml:space="preserve">ФОРМА АНТИКОРРУПЦИОННЫЕ ОБЯЗАТЕЛЬСТВА</w:t>
        </w:r>
        <w:r>
          <w:tab/>
        </w:r>
        <w:r>
          <w:fldChar w:fldCharType="begin"/>
        </w:r>
        <w:r>
          <w:instrText xml:space="preserve">PAGEREF _Toc54 \h</w:instrText>
        </w:r>
        <w:r>
          <w:fldChar w:fldCharType="separate"/>
        </w:r>
        <w:r>
          <w:t xml:space="preserve">67</w:t>
        </w:r>
        <w:r>
          <w:fldChar w:fldCharType="end"/>
        </w:r>
      </w:hyperlink>
      <w:r/>
      <w:r/>
    </w:p>
    <w:p>
      <w:pPr>
        <w:pStyle w:val="1308"/>
        <w:rPr>
          <w:highlight w:val="white"/>
        </w:rPr>
      </w:pPr>
      <w:r/>
      <w:hyperlink w:tooltip="#_Toc55" w:anchor="_Toc55" w:history="1">
        <w:r>
          <w:rPr>
            <w:rStyle w:val="1337"/>
            <w:highlight w:val="white"/>
          </w:rPr>
          <w:t xml:space="preserve">ФОРМА СПРАВКА О ПЕРЕЧНЕ И ОБЪЕМАХ ВЫПОЛНЕНИЯ АНАЛОГИЧНЫХ ДОГОВОРОВ</w:t>
        </w:r>
        <w:r>
          <w:tab/>
        </w:r>
        <w:r>
          <w:fldChar w:fldCharType="begin"/>
        </w:r>
        <w:r>
          <w:instrText xml:space="preserve">PAGEREF _Toc55 \h</w:instrText>
        </w:r>
        <w:r>
          <w:fldChar w:fldCharType="separate"/>
        </w:r>
        <w:r>
          <w:t xml:space="preserve">70</w:t>
        </w:r>
        <w:r>
          <w:fldChar w:fldCharType="end"/>
        </w:r>
      </w:hyperlink>
      <w:r/>
      <w:r>
        <w:rPr>
          <w:highlight w:val="white"/>
        </w:rPr>
      </w:r>
    </w:p>
    <w:p>
      <w:pPr>
        <w:pStyle w:val="1308"/>
        <w:rPr>
          <w:rFonts w:eastAsiaTheme="majorEastAsia"/>
          <w:highlight w:val="white"/>
        </w:rPr>
      </w:pPr>
      <w:r/>
      <w:hyperlink w:tooltip="#_Toc56" w:anchor="_Toc56" w:history="1">
        <w:r>
          <w:rPr>
            <w:rStyle w:val="1337"/>
            <w:highlight w:val="white"/>
          </w:rPr>
          <w:t xml:space="preserve">ФОРМА КОММЕРЧЕСКОЕ ПРЕДЛОЖЕНИЕ</w:t>
        </w:r>
        <w:r>
          <w:tab/>
        </w:r>
        <w:r>
          <w:fldChar w:fldCharType="begin"/>
        </w:r>
        <w:r>
          <w:instrText xml:space="preserve">PAGEREF _Toc56 \h</w:instrText>
        </w:r>
        <w:r>
          <w:fldChar w:fldCharType="separate"/>
        </w:r>
        <w:r>
          <w:t xml:space="preserve">72</w:t>
        </w:r>
        <w:r>
          <w:fldChar w:fldCharType="end"/>
        </w:r>
      </w:hyperlink>
      <w:r/>
      <w:r>
        <w:rPr>
          <w:rFonts w:eastAsiaTheme="majorEastAsia"/>
          <w:highlight w:val="white"/>
        </w:rPr>
      </w:r>
    </w:p>
    <w:p>
      <w:pPr>
        <w:pStyle w:val="1307"/>
        <w:tabs>
          <w:tab w:val="left" w:pos="567" w:leader="none"/>
        </w:tabs>
        <w:rPr>
          <w:rStyle w:val="1288"/>
          <w:rFonts w:ascii="Times New Roman" w:hAnsi="Times New Roman" w:cs="Times New Roman"/>
        </w:rPr>
      </w:pPr>
      <w:r/>
      <w:hyperlink w:tooltip="#_Toc57" w:anchor="_Toc57" w:history="1">
        <w:r>
          <w:t xml:space="preserve">IV.</w:t>
        </w:r>
        <w:r>
          <w:tab/>
        </w:r>
        <w:r>
          <w:rPr>
            <w:rStyle w:val="1337"/>
          </w:rPr>
          <w:t xml:space="preserve">ПРОЕКТ ДОГОВОРА</w:t>
        </w:r>
        <w:r>
          <w:tab/>
        </w:r>
        <w:r>
          <w:fldChar w:fldCharType="begin"/>
        </w:r>
        <w:r>
          <w:instrText xml:space="preserve">PAGEREF _Toc57 \h</w:instrText>
        </w:r>
        <w:r>
          <w:fldChar w:fldCharType="separate"/>
        </w:r>
        <w:r>
          <w:t xml:space="preserve">73</w:t>
        </w:r>
        <w:r>
          <w:fldChar w:fldCharType="end"/>
        </w:r>
      </w:hyperlink>
      <w:r/>
      <w:r>
        <w:rPr>
          <w:rStyle w:val="1288"/>
          <w:rFonts w:ascii="Times New Roman" w:hAnsi="Times New Roman" w:cs="Times New Roman"/>
        </w:rPr>
      </w:r>
    </w:p>
    <w:p>
      <w:pPr>
        <w:pStyle w:val="1307"/>
        <w:tabs>
          <w:tab w:val="left" w:pos="567" w:leader="none"/>
        </w:tabs>
        <w:rPr>
          <w:rStyle w:val="1288"/>
          <w:rFonts w:ascii="Times New Roman" w:hAnsi="Times New Roman" w:cs="Times New Roman"/>
        </w:rPr>
      </w:pPr>
      <w:r/>
      <w:hyperlink w:tooltip="#_Toc58" w:anchor="_Toc58" w:history="1">
        <w:r>
          <w:t xml:space="preserve">V.</w:t>
        </w:r>
        <w:r>
          <w:tab/>
        </w:r>
        <w:r>
          <w:rPr>
            <w:rStyle w:val="1337"/>
          </w:rPr>
          <w:t xml:space="preserve">ТЕХНИЧЕСКАЯ ЧАСТЬ</w:t>
        </w:r>
        <w:r>
          <w:tab/>
        </w:r>
        <w:r>
          <w:fldChar w:fldCharType="begin"/>
        </w:r>
        <w:r>
          <w:instrText xml:space="preserve">PAGEREF _Toc58 \h</w:instrText>
        </w:r>
        <w:r>
          <w:fldChar w:fldCharType="separate"/>
        </w:r>
        <w:r>
          <w:t xml:space="preserve">74</w:t>
        </w:r>
        <w:r>
          <w:fldChar w:fldCharType="end"/>
        </w:r>
      </w:hyperlink>
      <w:r/>
      <w:r>
        <w:rPr>
          <w:rStyle w:val="1288"/>
          <w:rFonts w:ascii="Times New Roman" w:hAnsi="Times New Roman" w:cs="Times New Roman"/>
        </w:rPr>
      </w:r>
    </w:p>
    <w:p>
      <w:pPr>
        <w:pStyle w:val="1307"/>
        <w:tabs>
          <w:tab w:val="left" w:pos="567" w:leader="none"/>
        </w:tabs>
        <w:rPr>
          <w:rStyle w:val="1288"/>
          <w:rFonts w:ascii="Times New Roman" w:hAnsi="Times New Roman" w:cs="Times New Roman"/>
        </w:rPr>
      </w:pPr>
      <w:r/>
      <w:hyperlink w:tooltip="#_Toc59" w:anchor="_Toc59" w:history="1">
        <w:r>
          <w:t xml:space="preserve">VI.</w:t>
        </w:r>
        <w:r>
          <w:tab/>
        </w:r>
        <w:r>
          <w:rPr>
            <w:rStyle w:val="1337"/>
          </w:rPr>
          <w:t xml:space="preserve">ОБОСНОВАНИЕ НМЦ</w:t>
        </w:r>
        <w:r>
          <w:tab/>
        </w:r>
        <w:r>
          <w:fldChar w:fldCharType="begin"/>
        </w:r>
        <w:r>
          <w:instrText xml:space="preserve">PAGEREF _Toc59 \h</w:instrText>
        </w:r>
        <w:r>
          <w:fldChar w:fldCharType="separate"/>
        </w:r>
        <w:r>
          <w:t xml:space="preserve">75</w:t>
        </w:r>
        <w:r>
          <w:fldChar w:fldCharType="end"/>
        </w:r>
      </w:hyperlink>
      <w:r/>
      <w:r>
        <w:rPr>
          <w:rStyle w:val="1288"/>
          <w:rFonts w:ascii="Times New Roman" w:hAnsi="Times New Roman" w:cs="Times New Roman"/>
        </w:rPr>
      </w:r>
    </w:p>
    <w:p>
      <w:pPr>
        <w:pStyle w:val="1307"/>
        <w:tabs>
          <w:tab w:val="left" w:pos="850" w:leader="none"/>
        </w:tabs>
      </w:pPr>
      <w:r/>
      <w:hyperlink w:tooltip="#_Toc60" w:anchor="_Toc60" w:history="1">
        <w:r>
          <w:t xml:space="preserve">VII.</w:t>
        </w:r>
        <w:r>
          <w:tab/>
        </w:r>
        <w:r>
          <w:rPr>
            <w:rStyle w:val="1337"/>
          </w:rPr>
          <w:t xml:space="preserve">ТИПОВ</w:t>
        </w:r>
        <w:r>
          <w:rPr>
            <w:rStyle w:val="1337"/>
            <w:rFonts w:eastAsiaTheme="majorEastAsia"/>
          </w:rPr>
          <w:t xml:space="preserve">ЫЕ</w:t>
        </w:r>
        <w:r>
          <w:rPr>
            <w:rStyle w:val="1337"/>
          </w:rPr>
          <w:t xml:space="preserve"> ФОРМ</w:t>
        </w:r>
        <w:r>
          <w:rPr>
            <w:rStyle w:val="1337"/>
            <w:rFonts w:eastAsiaTheme="majorEastAsia"/>
          </w:rPr>
          <w:t xml:space="preserve">Ы</w:t>
        </w:r>
        <w:r>
          <w:rPr>
            <w:rStyle w:val="1337"/>
          </w:rPr>
          <w:t xml:space="preserve"> НЕЗАВИСИМ</w:t>
        </w:r>
        <w:r>
          <w:rPr>
            <w:rStyle w:val="1337"/>
            <w:rFonts w:eastAsiaTheme="majorEastAsia"/>
          </w:rPr>
          <w:t xml:space="preserve">ЫХ ГАРАНТИЙ</w:t>
        </w:r>
        <w:r>
          <w:tab/>
        </w:r>
        <w:r>
          <w:fldChar w:fldCharType="begin"/>
        </w:r>
        <w:r>
          <w:instrText xml:space="preserve">PAGEREF _Toc60 \h</w:instrText>
        </w:r>
        <w:r>
          <w:fldChar w:fldCharType="separate"/>
        </w:r>
        <w:r>
          <w:t xml:space="preserve">76</w:t>
        </w:r>
        <w:r>
          <w:fldChar w:fldCharType="end"/>
        </w:r>
      </w:hyperlink>
      <w:r/>
      <w:r/>
    </w:p>
    <w:p>
      <w:pPr>
        <w:pStyle w:val="1307"/>
        <w:tabs>
          <w:tab w:val="left" w:pos="850" w:leader="none"/>
        </w:tabs>
        <w:rPr>
          <w:b w:val="0"/>
          <w:i/>
          <w:smallCaps/>
          <w:sz w:val="24"/>
          <w:szCs w:val="24"/>
        </w:rPr>
      </w:pPr>
      <w:r>
        <w:rPr>
          <w:b w:val="0"/>
          <w:bCs w:val="0"/>
          <w:i/>
          <w:iCs/>
          <w:smallCaps/>
          <w:sz w:val="24"/>
          <w:szCs w:val="24"/>
        </w:rPr>
        <w:fldChar w:fldCharType="end"/>
      </w:r>
      <w:r>
        <w:rPr>
          <w:b w:val="0"/>
          <w:i/>
          <w:smallCaps/>
          <w:sz w:val="24"/>
          <w:szCs w:val="24"/>
        </w:rPr>
      </w:r>
    </w:p>
    <w:p>
      <w:pPr>
        <w:pStyle w:val="1117"/>
        <w:numPr>
          <w:ilvl w:val="0"/>
          <w:numId w:val="4"/>
        </w:numPr>
        <w:ind w:left="0" w:firstLine="567"/>
        <w:keepNext w:val="0"/>
        <w:pageBreakBefore/>
        <w:spacing w:before="0" w:after="0"/>
        <w:widowControl w:val="off"/>
        <w:rPr>
          <w:rStyle w:val="1288"/>
          <w:b w:val="0"/>
          <w:bCs w:val="0"/>
          <w:caps/>
          <w:sz w:val="28"/>
          <w:szCs w:val="28"/>
        </w:rPr>
      </w:pPr>
      <w:r/>
      <w:bookmarkStart w:id="1" w:name="_I._ОБЩИЕ_У"/>
      <w:r/>
      <w:bookmarkStart w:id="2" w:name="_ОБЩИЕ_УСЛОВИЯ_ПРОВЕДЕНИЯ"/>
      <w:r/>
      <w:bookmarkStart w:id="3" w:name="_Ref166642713"/>
      <w:r/>
      <w:bookmarkStart w:id="4" w:name="_Toc2"/>
      <w:r/>
      <w:bookmarkEnd w:id="1"/>
      <w:r/>
      <w:bookmarkEnd w:id="2"/>
      <w:r>
        <w:rPr>
          <w:rStyle w:val="1288"/>
          <w:rFonts w:ascii="Times New Roman" w:hAnsi="Times New Roman" w:cs="Times New Roman"/>
          <w:caps/>
          <w:color w:val="auto"/>
          <w:sz w:val="28"/>
          <w:szCs w:val="28"/>
        </w:rPr>
        <w:t xml:space="preserve">ОБЩИЕ УСЛОВИЯ ПРОВЕДЕНИЯ ЗАКУПКИ</w:t>
      </w:r>
      <w:bookmarkEnd w:id="3"/>
      <w:r/>
      <w:bookmarkEnd w:id="4"/>
      <w:r/>
      <w:r>
        <w:rPr>
          <w:rStyle w:val="1288"/>
          <w:b w:val="0"/>
          <w:bCs w:val="0"/>
          <w:caps/>
          <w:sz w:val="28"/>
          <w:szCs w:val="28"/>
        </w:rPr>
      </w:r>
    </w:p>
    <w:p>
      <w:r/>
      <w:r/>
    </w:p>
    <w:p>
      <w:pPr>
        <w:pStyle w:val="11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5" w:name="_ОБЩИЕ_ПОЛОЖЕНИЯ"/>
      <w:r/>
      <w:bookmarkStart w:id="6" w:name="_Ref166101247"/>
      <w:r/>
      <w:bookmarkStart w:id="7" w:name="_Ref166101251"/>
      <w:r/>
      <w:bookmarkStart w:id="8" w:name="_Toc3"/>
      <w:r/>
      <w:bookmarkEnd w:id="5"/>
      <w:r>
        <w:rPr>
          <w:sz w:val="24"/>
          <w:szCs w:val="24"/>
        </w:rPr>
        <w:t xml:space="preserve">ОБЩИЕ ПОЛОЖЕНИЯ</w:t>
      </w:r>
      <w:bookmarkEnd w:id="6"/>
      <w:r/>
      <w:bookmarkEnd w:id="7"/>
      <w:r/>
      <w:bookmarkEnd w:id="8"/>
      <w:r/>
      <w:r>
        <w:rPr>
          <w:sz w:val="24"/>
          <w:szCs w:val="24"/>
        </w:rPr>
      </w:r>
    </w:p>
    <w:p>
      <w:pPr>
        <w:pStyle w:val="111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9" w:name="_Toc4"/>
      <w:r>
        <w:rPr>
          <w:sz w:val="24"/>
          <w:szCs w:val="24"/>
        </w:rPr>
        <w:t xml:space="preserve">Правовой статус документов</w:t>
      </w:r>
      <w:bookmarkEnd w:id="9"/>
      <w:r/>
      <w:r>
        <w:rPr>
          <w:sz w:val="24"/>
          <w:szCs w:val="24"/>
        </w:rPr>
      </w:r>
    </w:p>
    <w:p>
      <w:pPr>
        <w:pStyle w:val="11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19427085"/>
      <w:r/>
      <w:bookmarkStart w:id="11" w:name="_Ref11225299"/>
      <w:r>
        <w:rPr>
          <w:rFonts w:ascii="Times New Roman" w:hAnsi="Times New Roman" w:cs="Times New Roman"/>
          <w:b w:val="0"/>
          <w:bCs w:val="0"/>
        </w:rPr>
        <w:t xml:space="preserve">Настоящая документация о закупке подготовлена в соответствии </w:t>
      </w:r>
      <w:bookmarkEnd w:id="10"/>
      <w:r>
        <w:rPr>
          <w:rFonts w:ascii="Times New Roman" w:hAnsi="Times New Roman" w:cs="Times New Roman"/>
          <w:b w:val="0"/>
          <w:bCs w:val="0"/>
        </w:rPr>
        <w:t xml:space="preserve">с требованиями </w:t>
      </w:r>
      <w:hyperlink r:id="rId12" w:tooltip="http://www.consultant.ru/document/cons_doc_LAW_116964/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Федерального закона от 18.07.2011 № 223-ФЗ «О закупке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hyperlink r:id="rId13" w:tooltip="https://zakupki.gov.ru/epz/orderclause/card/common-info.html?orderClauseInfoId=967865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Единого стандарта закупок ПАО«Россети»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Стандарт, Положение о закупке), (в редакции, действующей на дату официального размещения извещения).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Термины и определения, применяемые в настоящей документации о закупке и приложениях к ней, ис</w:t>
      </w:r>
      <w:r>
        <w:rPr>
          <w:rFonts w:ascii="Times New Roman" w:hAnsi="Times New Roman" w:cs="Times New Roman"/>
          <w:b w:val="0"/>
          <w:bCs w:val="0"/>
        </w:rP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rPr>
          <w:rFonts w:ascii="Times New Roman" w:hAnsi="Times New Roman" w:cs="Times New Roman"/>
          <w:b w:val="0"/>
          <w:bCs w:val="0"/>
        </w:rP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конкурентной закупке (далее – заявка, заявка участника закупки).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</w:t>
      </w:r>
      <w:hyperlink r:id="rId14" w:tooltip="http://www.consultant.ru/document/cons_doc_LAW_5142/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Гражданским кодексом Российской Федерации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r:id="rId15" w:tooltip="https://zakupki.gov.ru/epz/orderclause/card/common-info.html?orderClauseInfoId=829138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сторон договора, заключае</w:t>
      </w:r>
      <w:r>
        <w:rPr>
          <w:rFonts w:ascii="Times New Roman" w:hAnsi="Times New Roman" w:cs="Times New Roman"/>
          <w:b w:val="0"/>
          <w:bCs w:val="0"/>
        </w:rP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2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12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3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</w:t>
      </w:r>
      <w:hyperlink w:tooltip="#_Наименование,_место_нахождения," w:anchor="_Наименование,_место_нахождения,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</w:t>
      </w:r>
      <w:r>
        <w:rPr>
          <w:rFonts w:ascii="Times New Roman" w:hAnsi="Times New Roman" w:cs="Times New Roman"/>
          <w:b w:val="0"/>
          <w:bCs w:val="0"/>
        </w:rPr>
        <w:t xml:space="preserve">ции о закупке соответственно (далее по тексту ссылки на разделы, подразделы, пункты и подпункты относятся исключительно к настоящей документации о закупке, если рядом с такой ссылкой не указано иного), проводит закупку, предмет и условия которой указаны в </w:t>
      </w:r>
      <w:hyperlink w:tooltip="#_РАЗДЕЛ_I_3_ИНФОРМАЦИОННАЯ_КАРТА_КОН" w:anchor="_РАЗДЕЛ_I_3_ИНФОРМАЦИОННАЯ_КАРТА_КОН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соответствии с процедурами, условиями и положениями настоящей документации о закупке.</w:t>
      </w:r>
      <w:bookmarkEnd w:id="13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пункте </w:t>
      </w:r>
      <w:hyperlink w:tooltip="#_Наименование,_место_нахождения," w:anchor="_Наименование,_место_нахождения,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4" w:name="_Toc6"/>
      <w:r>
        <w:rPr>
          <w:sz w:val="24"/>
          <w:szCs w:val="24"/>
        </w:rPr>
        <w:t xml:space="preserve">Начальная (максимальная) цена договора (цена лота) </w:t>
      </w:r>
      <w:bookmarkEnd w:id="14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закупке и в пункте </w:t>
      </w:r>
      <w:hyperlink w:tooltip="#_Сведения_о_начальной" w:anchor="_Сведения_о_начальной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Начальная (максимальная) цена договора (цена лота)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 (цена лота), либо формулы цены, устанавливающей правила расчета су</w:t>
      </w:r>
      <w:r>
        <w:rPr>
          <w:rFonts w:ascii="Times New Roman" w:hAnsi="Times New Roman" w:cs="Times New Roman"/>
          <w:b w:val="0"/>
        </w:rPr>
        <w:t xml:space="preserve">мм, подлежащих уплате заказчиком поставщику (исполнителю, подрядчику) в ходе исполнения договора, и максимального значения цены договора, либо цены единицы товара, работы, услуги и максимальное значение цены договора. В случае если по результатам закупки в</w:t>
      </w:r>
      <w:r>
        <w:rPr>
          <w:rFonts w:ascii="Times New Roman" w:hAnsi="Times New Roman" w:cs="Times New Roman"/>
          <w:b w:val="0"/>
        </w:rPr>
        <w:t xml:space="preserve">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Начальная (максимальная) цена каждого товара, работы, услуги, являющихся предметом закупки, составляет значения, указанные в </w:t>
      </w:r>
      <w:hyperlink w:tooltip="#_Приложение_№_2" w:anchor="_Приложение_2" w:history="1">
        <w:r>
          <w:rPr>
            <w:rStyle w:val="1337"/>
            <w:rFonts w:ascii="Times New Roman" w:hAnsi="Times New Roman" w:cs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5" w:name="_1.4._Требо"/>
      <w:r/>
      <w:bookmarkStart w:id="16" w:name="_Требования_к_участникам"/>
      <w:r/>
      <w:bookmarkStart w:id="17" w:name="_Toc7"/>
      <w:r/>
      <w:bookmarkEnd w:id="15"/>
      <w:r/>
      <w:bookmarkEnd w:id="16"/>
      <w:r>
        <w:rPr>
          <w:sz w:val="24"/>
          <w:szCs w:val="24"/>
        </w:rPr>
        <w:t xml:space="preserve">Требования к участникам закупки</w:t>
      </w:r>
      <w:bookmarkEnd w:id="17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72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rFonts w:eastAsiaTheme="minorHAnsi"/>
          <w:sz w:val="24"/>
          <w:szCs w:val="24"/>
          <w:lang w:eastAsia="en-US"/>
        </w:rPr>
      </w:pPr>
      <w:r>
        <w:rPr>
          <w:b/>
          <w:bCs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</w:t>
      </w:r>
      <w:r>
        <w:rPr>
          <w:rFonts w:eastAsiaTheme="minorHAnsi"/>
          <w:sz w:val="24"/>
          <w:szCs w:val="24"/>
          <w:lang w:eastAsia="en-US"/>
        </w:rPr>
        <w:t xml:space="preserve">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</w:t>
      </w:r>
      <w:hyperlink r:id="rId16" w:tooltip="https://www.consultant.ru/document/cons_doc_LAW_421788/?ysclid=lh7gcn0ch0337012251" w:history="1">
        <w:r>
          <w:rPr>
            <w:rStyle w:val="1337"/>
            <w:rFonts w:eastAsiaTheme="minorHAnsi"/>
            <w:sz w:val="24"/>
            <w:szCs w:val="24"/>
            <w:lang w:eastAsia="en-US"/>
          </w:rPr>
          <w:t xml:space="preserve">Федеральным законом от 14 июля 2022 года № 255-ФЗ «О контроле за деятельностью лиц, находящихся под иностранным влиянием»</w:t>
        </w:r>
      </w:hyperlink>
      <w:r>
        <w:rPr>
          <w:rFonts w:eastAsiaTheme="minorHAnsi"/>
          <w:sz w:val="24"/>
          <w:szCs w:val="24"/>
          <w:lang w:eastAsia="en-US"/>
        </w:rPr>
        <w:t xml:space="preserve">, если иное не предусмотрено законодательством Российской Федерации;</w:t>
      </w:r>
      <w:r>
        <w:rPr>
          <w:rFonts w:eastAsiaTheme="minorHAnsi"/>
          <w:sz w:val="24"/>
          <w:szCs w:val="24"/>
          <w:lang w:eastAsia="en-US"/>
        </w:rPr>
      </w:r>
    </w:p>
    <w:p>
      <w:pPr>
        <w:pStyle w:val="1472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b/>
          <w:bCs/>
        </w:rPr>
      </w:pPr>
      <w:r>
        <w:rPr>
          <w:sz w:val="24"/>
          <w:szCs w:val="24"/>
        </w:rPr>
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</w:t>
      </w:r>
      <w:r>
        <w:rPr>
          <w:sz w:val="24"/>
          <w:szCs w:val="24"/>
        </w:rPr>
        <w:t xml:space="preserve">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</w:t>
      </w:r>
      <w:hyperlink r:id="rId17" w:tooltip="https://www.consultant.ru/document/cons_doc_LAW_421788/?ysclid=lh7gd9qdev457426157" w:history="1">
        <w:r>
          <w:rPr>
            <w:rStyle w:val="1337"/>
            <w:sz w:val="24"/>
            <w:szCs w:val="24"/>
          </w:rPr>
          <w:t xml:space="preserve">Федеральным законом от 14 июля 2022 года № 255-ФЗ «О контроле за деятельностью лиц, находящихся под иностранным влиянием»</w:t>
        </w:r>
      </w:hyperlink>
      <w:r>
        <w:rPr>
          <w:rStyle w:val="1337"/>
          <w:sz w:val="24"/>
          <w:szCs w:val="24"/>
        </w:rPr>
        <w:t xml:space="preserve">.</w:t>
      </w:r>
      <w:r>
        <w:rPr>
          <w:b/>
          <w:bCs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" w:name="_Участник_закупки_для"/>
      <w:r/>
      <w:bookmarkStart w:id="19" w:name="_Ref166312025"/>
      <w:r/>
      <w:bookmarkEnd w:id="18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</w:t>
      </w:r>
      <w:hyperlink w:tooltip="#_Единые_требования_к" w:anchor="_Единые_требования_к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16 части II «ИНФОРМАЦИОННАЯ КАРТА ЗАКУПКИ»</w:t>
        </w:r>
      </w:hyperlink>
      <w:r/>
      <w:bookmarkEnd w:id="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указать сведения о наличии/отсутствии конфликта интересов и/или связей, носящих характер аффилированности с работниками Заказчика/Организатора закупки.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предоставить справку о цепочке собственников участника закупки, включая бенефициаров (в том числе конечных).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ознакомится с требованиями Антикоррупционной политики Заказчика и выразить согласие с принимаемыми заказчиком антикоррупционными мерами.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</w:t>
      </w:r>
      <w:hyperlink r:id="rId18" w:tooltip="http://www.consultant.ru/document/cons_doc_LAW_116964/" w:history="1">
        <w:r>
          <w:rPr>
            <w:rStyle w:val="1337"/>
            <w:rFonts w:ascii="Times New Roman" w:hAnsi="Times New Roman" w:cs="Times New Roman"/>
            <w:b w:val="0"/>
          </w:rPr>
          <w:t xml:space="preserve">Законом 223-</w:t>
        </w:r>
        <w:r>
          <w:rPr>
            <w:rStyle w:val="1337"/>
            <w:rFonts w:ascii="Times New Roman" w:hAnsi="Times New Roman" w:cs="Times New Roman"/>
            <w:b w:val="0"/>
          </w:rPr>
          <w:t xml:space="preserve">ФЗ</w:t>
        </w:r>
      </w:hyperlink>
      <w:r>
        <w:rPr>
          <w:rFonts w:ascii="Times New Roman" w:hAnsi="Times New Roman" w:cs="Times New Roman"/>
          <w:b w:val="0"/>
        </w:rPr>
        <w:t xml:space="preserve">, и (или) в реестре недобросовестных поставщиков, предусмотренном </w:t>
      </w:r>
      <w:hyperlink r:id="rId19" w:tooltip="https://www.consultant.ru/document/cons_doc_LAW_144624/?ysclid=lh7gqoclg7259684790" w:history="1">
        <w:r>
          <w:rPr>
            <w:rStyle w:val="1337"/>
            <w:rFonts w:ascii="Times New Roman" w:hAnsi="Times New Roman" w:cs="Times New Roman"/>
            <w:b w:val="0"/>
          </w:rPr>
          <w:t xml:space="preserve">Федеральным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rFonts w:ascii="Times New Roman" w:hAnsi="Times New Roman" w:cs="Times New Roman"/>
          <w:b w:val="0"/>
        </w:rPr>
        <w:t xml:space="preserve">, если такое требование установлено Заказчиком, в пункте </w:t>
      </w:r>
      <w:hyperlink w:tooltip="#_Единые_требования_к" w:anchor="_Единые_требования_к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>
        <w:rPr>
          <w:rFonts w:ascii="Times New Roman" w:hAnsi="Times New Roman" w:cs="Times New Roman"/>
          <w:b w:val="0"/>
        </w:rPr>
        <w:t xml:space="preserve">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При установлении требований по количественным параметрам </w:t>
      </w:r>
      <w:r>
        <w:rPr>
          <w:rFonts w:ascii="Times New Roman" w:hAnsi="Times New Roman" w:cs="Times New Roman"/>
          <w:b w:val="0"/>
        </w:rPr>
        <w:t xml:space="preserve">деятельности коллективного участника (группы лиц), количественные параметры членов объединения суммируются в соответствии с распределением поставок, работ, услуг между членами коллективного участника. При установлении требований по наличию специальной прав</w:t>
      </w:r>
      <w:r>
        <w:rPr>
          <w:rFonts w:ascii="Times New Roman" w:hAnsi="Times New Roman" w:cs="Times New Roman"/>
          <w:b w:val="0"/>
        </w:rPr>
        <w:t xml:space="preserve">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</w:t>
      </w:r>
      <w:r>
        <w:rPr>
          <w:rFonts w:ascii="Times New Roman" w:hAnsi="Times New Roman" w:cs="Times New Roman"/>
          <w:b w:val="0"/>
        </w:rPr>
        <w:t xml:space="preserve">о в одном объединении и не имеет права принимать участие в данной закупке самостоятельно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расс</w:t>
      </w:r>
      <w:r>
        <w:rPr>
          <w:rFonts w:ascii="Times New Roman" w:hAnsi="Times New Roman" w:cs="Times New Roman"/>
          <w:b w:val="0"/>
        </w:rPr>
        <w:t xml:space="preserve">мотрения по существу. 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субподрядчиком/соисполнителем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0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</w:t>
      </w:r>
      <w:r>
        <w:rPr>
          <w:rFonts w:ascii="Times New Roman" w:hAnsi="Times New Roman" w:cs="Times New Roman"/>
          <w:b w:val="0"/>
          <w:bCs w:val="0"/>
        </w:rPr>
        <w:t xml:space="preserve">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</w:t>
      </w:r>
      <w:r>
        <w:rPr>
          <w:rFonts w:ascii="Times New Roman" w:hAnsi="Times New Roman" w:cs="Times New Roman"/>
          <w:b w:val="0"/>
          <w:bCs w:val="0"/>
        </w:rPr>
        <w:t xml:space="preserve">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bookmarkEnd w:id="20"/>
      <w:r>
        <w:fldChar w:fldCharType="begin"/>
      </w:r>
      <w:r>
        <w:instrText xml:space="preserve"> HYPERLINK \l "_Единые_требования_к" </w:instrText>
      </w:r>
      <w:r>
        <w:fldChar w:fldCharType="separate"/>
      </w:r>
      <w:r>
        <w:rPr>
          <w:rStyle w:val="1337"/>
          <w:rFonts w:ascii="Times New Roman" w:hAnsi="Times New Roman" w:cs="Times New Roman"/>
          <w:b w:val="0"/>
          <w:bCs w:val="0"/>
        </w:rPr>
        <w:t xml:space="preserve">14 части II «ИНФОРМАЦИОННАЯ КАРТА ЗАКУПКИ»</w:t>
      </w:r>
      <w:r>
        <w:rPr>
          <w:rStyle w:val="1337"/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16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21" w:name="_Toc8"/>
      <w:r>
        <w:rPr>
          <w:sz w:val="24"/>
          <w:szCs w:val="24"/>
        </w:rPr>
        <w:t xml:space="preserve">Привлечение соисполнителей (субподрядчиков) к исполнению договора</w:t>
      </w:r>
      <w:bookmarkEnd w:id="21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22" w:name="_Ref354131841"/>
      <w:r/>
      <w:bookmarkStart w:id="23" w:name="_Ref114955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" w:name="_Toc9"/>
      <w:r/>
      <w:bookmarkEnd w:id="22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4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23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</w:pPr>
      <w:r/>
      <w:bookmarkStart w:id="25" w:name="_Toc10"/>
      <w:r/>
      <w:bookmarkStart w:id="26" w:name="_Hlk188373250"/>
      <w:r/>
      <w:bookmarkEnd w:id="11"/>
      <w:r>
        <w:rPr>
          <w:sz w:val="24"/>
          <w:szCs w:val="24"/>
        </w:rPr>
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bookmarkEnd w:id="25"/>
      <w:r/>
      <w:r/>
    </w:p>
    <w:p>
      <w:pPr>
        <w:pStyle w:val="1119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 или ограничение закупки работ, услуг, соответственно выполняемых, оказываемых иностранными лицами, устанавливаются в пункте </w:t>
      </w:r>
      <w:hyperlink w:tooltip="#_Сведения_о_предоставлении" w:anchor="_Информация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12 части II 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соответствии c требованиями п. 4.5 </w:t>
      </w:r>
      <w:hyperlink r:id="rId20" w:tooltip="https://zakupki.gov.ru/epz/orderclause/card/common-info.html?orderClauseInfoId=967865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Единого стандарта закупок ПАО 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21" w:tooltip="https://www.consultant.ru/document/cons_doc_LAW_494318/92d969e26a4326c5d02fa79b8f9cf4994ee5633b/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Постановле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ПП 1875).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  <w:rPr>
          <w:b w:val="0"/>
        </w:rPr>
      </w:pPr>
      <w:r/>
      <w:bookmarkStart w:id="27" w:name="_Toc11"/>
      <w:r>
        <w:rPr>
          <w:sz w:val="24"/>
          <w:szCs w:val="24"/>
        </w:rPr>
        <w:t xml:space="preserve">Антимонопольная оговорка</w:t>
      </w:r>
      <w:bookmarkEnd w:id="27"/>
      <w:r/>
      <w:r>
        <w:rPr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может ознакомиться с Политикой антимонопольного комплаенса АО «Россети Янтарь», представленной в разделе «Политика антимонопольного комплаенса» на официальном сайте АО «Россети Янтарь» по адресу в сети Интернет </w:t>
      </w:r>
      <w:hyperlink r:id="rId22" w:tooltip="https://www.rosseti-yantar.ru/about/politiks/antimonopolnyy-komplaens/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https://www.rosseti-yantar.ru/about/politiks/antimonopolnyy-komplaens/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Антимонопольная политика).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при принятии участия в настоящей закупочной процедуре, его работники, представители, учитывают требования действующего Федерального закона от 26.07.2006 </w:t>
      </w:r>
      <w:r>
        <w:rPr>
          <w:rFonts w:ascii="Times New Roman" w:hAnsi="Times New Roman" w:cs="Times New Roman"/>
          <w:b w:val="0"/>
          <w:bCs w:val="0"/>
        </w:rPr>
        <w:t xml:space="preserve">№ 135-ФЗ «О защите конкуренции», а также иных федеральных законов, нормативных правовых актов, регулирующих отношения, связанные с защитой конкуренции, предупреждением и пресечением монополистической деятельности и недобросовестной конкуренции (далее- Анти</w:t>
      </w:r>
      <w:r>
        <w:rPr>
          <w:rFonts w:ascii="Times New Roman" w:hAnsi="Times New Roman" w:cs="Times New Roman"/>
          <w:b w:val="0"/>
          <w:bCs w:val="0"/>
        </w:rPr>
        <w:t xml:space="preserve">монопольное законодательство), Федерального закона от 18.07.2011 № 223-ФЗ «О закупках товаров, работ, услуг отдельными видами юридических лиц», неукоснительно ими руководствуются и осознают серьезность последствий, к которым может привести их несоблюдение.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возникновения у Участника подозрений, что произошл</w:t>
      </w:r>
      <w:r>
        <w:rPr>
          <w:rFonts w:ascii="Times New Roman" w:hAnsi="Times New Roman" w:cs="Times New Roman"/>
          <w:b w:val="0"/>
          <w:bCs w:val="0"/>
        </w:rPr>
        <w:t xml:space="preserve">о или может произойти нарушение каких-либо положений Антимонопольного законодательства, либо Закона 223-ФЗ, он обязуется уведомить об этом Организатора закупки в письменной форме. В письменном уведомлении Сторона обязана сослаться на факты или предоставить</w:t>
      </w:r>
      <w:r>
        <w:rPr>
          <w:rFonts w:ascii="Times New Roman" w:hAnsi="Times New Roman" w:cs="Times New Roman"/>
          <w:b w:val="0"/>
          <w:bCs w:val="0"/>
        </w:rPr>
        <w:t xml:space="preserve"> материалы, достоверно подтверждающие или дающие основание предполагать, что произошло или может произойти нарушение каких-либо положений Антимонопольного законодательства со стороны Организатора закупки, его аффилированных лиц, работников или посредников.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Направить уведомление АО «Россети Янтарь» можно почтой по адресу: 236035, а/я 5065 или через форму обратной связи на сайте Общества.</w:t>
      </w:r>
      <w:bookmarkEnd w:id="26"/>
      <w:r/>
      <w:r>
        <w:rPr>
          <w:b w:val="0"/>
        </w:rPr>
      </w:r>
    </w:p>
    <w:p>
      <w:pPr>
        <w:pStyle w:val="1430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1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8" w:name="_Toc12"/>
      <w:r>
        <w:rPr>
          <w:sz w:val="24"/>
          <w:szCs w:val="24"/>
        </w:rPr>
        <w:t xml:space="preserve">ДОКУМЕНТАЦИЯ О ЗАКУПКЕ</w:t>
      </w:r>
      <w:bookmarkEnd w:id="28"/>
      <w:r/>
      <w:r>
        <w:rPr>
          <w:sz w:val="24"/>
          <w:szCs w:val="24"/>
        </w:rPr>
      </w:r>
    </w:p>
    <w:p>
      <w:pPr>
        <w:pStyle w:val="111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9" w:name="_Ref11225592"/>
      <w:r/>
      <w:bookmarkStart w:id="30" w:name="_Toc13"/>
      <w:r>
        <w:rPr>
          <w:sz w:val="24"/>
          <w:szCs w:val="24"/>
        </w:rPr>
        <w:t xml:space="preserve">Предоставление документации</w:t>
      </w:r>
      <w:bookmarkEnd w:id="29"/>
      <w:r>
        <w:rPr>
          <w:sz w:val="24"/>
          <w:szCs w:val="24"/>
        </w:rPr>
        <w:t xml:space="preserve"> о закупке</w:t>
      </w:r>
      <w:bookmarkEnd w:id="30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hyperlink r:id="rId23" w:tooltip="www.zakupki.gov.ru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www.zakupki.gov.ru</w:t>
        </w:r>
      </w:hyperlink>
      <w:r>
        <w:rPr>
          <w:rFonts w:ascii="Times New Roman" w:hAnsi="Times New Roman" w:cs="Times New Roman"/>
          <w:b w:val="0"/>
          <w:bCs w:val="0"/>
        </w:rPr>
        <w:t xml:space="preserve">, а также на сайте электронной торговой площадки (далее – ЭТП), указанной в пункте </w:t>
      </w:r>
      <w:hyperlink w:tooltip="#_Адрес_электронной_площадки" w:anchor="_Адрес_электронной_площадки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10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31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32" w:name="_Toc14"/>
      <w:r>
        <w:rPr>
          <w:sz w:val="24"/>
          <w:szCs w:val="24"/>
        </w:rPr>
        <w:t xml:space="preserve">Разъяснение положений документации о закупке</w:t>
      </w:r>
      <w:bookmarkEnd w:id="32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3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средствами электронной площадки Заказчику запрос о даче разъяснений положений документации о закупке. Порядок подачи запроса на разъяснения положений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</w:t>
      </w:r>
      <w:hyperlink w:tooltip="#_Порядок,_дата_начала," w:anchor="_Порядок,_дата_начала,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</w:t>
      </w:r>
      <w:r>
        <w:rPr>
          <w:rFonts w:ascii="Times New Roman" w:hAnsi="Times New Roman" w:cs="Times New Roman"/>
          <w:b w:val="0"/>
          <w:bCs w:val="0"/>
        </w:rPr>
        <w:t xml:space="preserve">аказчик осуществляет разъяснение положений документации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</w:t>
      </w:r>
      <w:r>
        <w:rPr>
          <w:rFonts w:ascii="Times New Roman" w:hAnsi="Times New Roman" w:cs="Times New Roman"/>
          <w:b w:val="0"/>
          <w:bCs w:val="0"/>
        </w:rPr>
        <w:t xml:space="preserve">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33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" w:name="_Ref119429410"/>
      <w:r/>
      <w:bookmarkStart w:id="35" w:name="_Toc15"/>
      <w:r>
        <w:rPr>
          <w:sz w:val="24"/>
          <w:szCs w:val="24"/>
        </w:rPr>
        <w:t xml:space="preserve">Внесение изменений в извещение о </w:t>
      </w:r>
      <w:bookmarkEnd w:id="34"/>
      <w:r>
        <w:rPr>
          <w:sz w:val="24"/>
          <w:szCs w:val="24"/>
        </w:rPr>
        <w:t xml:space="preserve">закупке и/или документацию о закупке</w:t>
      </w:r>
      <w:bookmarkEnd w:id="35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6" w:name="_Toc16"/>
      <w:r>
        <w:rPr>
          <w:sz w:val="24"/>
          <w:szCs w:val="24"/>
        </w:rPr>
        <w:t xml:space="preserve">Отмена закупки</w:t>
      </w:r>
      <w:bookmarkEnd w:id="36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7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7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8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1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9" w:name="_ТРЕБОВАНИЯ_К_СОДЕРЖАНИЮ"/>
      <w:r/>
      <w:bookmarkStart w:id="40" w:name="_Ref166159542"/>
      <w:r/>
      <w:bookmarkStart w:id="41" w:name="_Ref166159546"/>
      <w:r/>
      <w:bookmarkStart w:id="42" w:name="_Ref166250138"/>
      <w:r/>
      <w:bookmarkStart w:id="43" w:name="_Ref166250141"/>
      <w:r/>
      <w:bookmarkStart w:id="44" w:name="_Toc17"/>
      <w:r/>
      <w:bookmarkEnd w:id="38"/>
      <w:r/>
      <w:bookmarkEnd w:id="39"/>
      <w:r>
        <w:rPr>
          <w:sz w:val="24"/>
          <w:szCs w:val="24"/>
        </w:rPr>
        <w:t xml:space="preserve">ТРЕБОВАНИЯ К СОДЕРЖАНИЮ ЗАЯВКИ НА УЧАСТИЕ В </w:t>
      </w:r>
      <w:bookmarkEnd w:id="40"/>
      <w:r/>
      <w:bookmarkEnd w:id="41"/>
      <w:r/>
      <w:bookmarkEnd w:id="42"/>
      <w:r/>
      <w:bookmarkEnd w:id="43"/>
      <w:r>
        <w:rPr>
          <w:sz w:val="24"/>
          <w:szCs w:val="24"/>
        </w:rPr>
        <w:t xml:space="preserve">ЗАКУПКЕ</w:t>
      </w:r>
      <w:bookmarkEnd w:id="44"/>
      <w:r/>
      <w:r>
        <w:rPr>
          <w:sz w:val="24"/>
          <w:szCs w:val="24"/>
        </w:rPr>
      </w:r>
    </w:p>
    <w:p>
      <w:pPr>
        <w:pStyle w:val="1118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45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6" w:name="_Ref166246797"/>
      <w:r/>
      <w:bookmarkStart w:id="47" w:name="_Ref119429784"/>
      <w:r/>
      <w:bookmarkStart w:id="48" w:name="_Ref119429817"/>
      <w:r/>
      <w:bookmarkStart w:id="49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</w:t>
      </w:r>
      <w:hyperlink w:tooltip="#_ТРЕБОВАНИЯ_К_СОДЕРЖАНИЮ" w:anchor="_ТРЕБОВАНИЯ_К_СОДЕРЖАНИЮ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раздела 3 «ТРЕБОВАНИЯ К СОДЕРЖАНИЮ ЗАЯВКИ НА УЧАСТИЕ В ЗАКУПКЕ»</w:t>
        </w:r>
        <w:r>
          <w:rPr>
            <w:rStyle w:val="1337"/>
            <w:rFonts w:ascii="Times New Roman" w:hAnsi="Times New Roman" w:cs="Times New Roman"/>
            <w:b w:val="0"/>
          </w:rPr>
          <w:t xml:space="preserve"> части </w:t>
        </w:r>
        <w:r>
          <w:rPr>
            <w:rStyle w:val="1337"/>
            <w:rFonts w:ascii="Times New Roman" w:hAnsi="Times New Roman" w:cs="Times New Roman"/>
            <w:b w:val="0"/>
            <w:lang w:val="en-US"/>
          </w:rPr>
          <w:t xml:space="preserve">I</w:t>
        </w:r>
        <w:r>
          <w:rPr>
            <w:rStyle w:val="1337"/>
            <w:rFonts w:ascii="Times New Roman" w:hAnsi="Times New Roman" w:cs="Times New Roman"/>
            <w:b w:val="0"/>
          </w:rPr>
          <w:t xml:space="preserve"> «ОБЩИЕ УСЛОВИЯ ПРОВЕДЕНИЯ ЗАКУПКИ»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hyperlink w:tooltip="#_ОБРАЗЦЫ_ФОРМ_ДЛЯ" w:anchor="_ОБРАЗЦЫ_ФОРМ_ДЛЯ" w:history="1">
        <w:r>
          <w:rPr>
            <w:rStyle w:val="1337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6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hyperlink w:tooltip="#_ТЕХНИЧЕСКАЯ_ЧАСТЬ" w:anchor="_ТЕХНИЧЕСКАЯ_ЧАСТЬ" w:history="1">
        <w:r>
          <w:rPr>
            <w:rStyle w:val="1337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37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50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51" w:name="_Ref16631315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52" w:name="_Toc19"/>
      <w:r/>
      <w:bookmarkEnd w:id="51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52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3" w:name="_Toc20"/>
      <w:r>
        <w:rPr>
          <w:sz w:val="24"/>
          <w:szCs w:val="24"/>
        </w:rPr>
        <w:t xml:space="preserve">Требования к валюте заявки</w:t>
      </w:r>
      <w:bookmarkEnd w:id="53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4" w:name="_Hlt517806775"/>
      <w:r/>
      <w:bookmarkStart w:id="55" w:name="_Ref52534291"/>
      <w:r/>
      <w:bookmarkEnd w:id="54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5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Toc21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7"/>
      <w:r/>
      <w:bookmarkEnd w:id="48"/>
      <w:r/>
      <w:bookmarkEnd w:id="49"/>
      <w:r/>
      <w:bookmarkEnd w:id="56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7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Сведения_и_документы," w:anchor="_Сведения_и_документы," w:history="1">
        <w:r>
          <w:rPr>
            <w:rStyle w:val="1337"/>
            <w:rFonts w:ascii="Times New Roman" w:hAnsi="Times New Roman" w:cs="Times New Roman"/>
            <w:b w:val="0"/>
          </w:rPr>
          <w:t xml:space="preserve">17 части II «ИНФОРМАЦИОННАЯ КАРТА 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ЗАКУПКИ</w:t>
        </w:r>
        <w:r>
          <w:rPr>
            <w:rStyle w:val="1337"/>
            <w:rFonts w:ascii="Times New Roman" w:hAnsi="Times New Roman" w:cs="Times New Roman"/>
            <w:b w:val="0"/>
          </w:rPr>
          <w:t xml:space="preserve">»</w:t>
        </w:r>
        <w:bookmarkEnd w:id="57"/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Заявка должна быть действительна в течение срока, указанного участником закупки в письме о подаче оферты. В любом случае этот срок </w:t>
      </w:r>
      <w:r>
        <w:rPr>
          <w:rFonts w:ascii="Times New Roman" w:hAnsi="Times New Roman" w:cs="Times New Roman"/>
        </w:rPr>
        <w:t xml:space="preserve">не должен быть менее, чем 90</w:t>
      </w:r>
      <w:r>
        <w:rPr>
          <w:rStyle w:val="1448"/>
          <w:rFonts w:ascii="Times New Roman" w:hAnsi="Times New Roman" w:cs="Times New Roman"/>
          <w:i w:val="0"/>
          <w:shd w:val="clear" w:color="auto" w:fill="auto"/>
        </w:rPr>
        <w:t xml:space="preserve"> </w:t>
      </w:r>
      <w:r>
        <w:rPr>
          <w:rFonts w:ascii="Times New Roman" w:hAnsi="Times New Roman" w:cs="Times New Roman"/>
        </w:rPr>
        <w:t xml:space="preserve">календарных дней со дня</w:t>
      </w:r>
      <w:r>
        <w:rPr>
          <w:rFonts w:ascii="Times New Roman" w:hAnsi="Times New Roman" w:cs="Times New Roman"/>
          <w:b w:val="0"/>
        </w:rPr>
        <w:t xml:space="preserve">, следующего за днем окончания подачи заявок, указанном в пункте </w:t>
      </w:r>
      <w:hyperlink w:tooltip="#_Дата_рассмотрения_предложений" w:anchor="_Дата_рассмотрения_предложений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пункте </w:t>
      </w:r>
      <w:hyperlink w:tooltip="#_Сведения_и_документы," w:anchor="_Сведения_и_документы," w:history="1">
        <w:r>
          <w:rPr>
            <w:rStyle w:val="1337"/>
            <w:rFonts w:ascii="Times New Roman" w:hAnsi="Times New Roman" w:cs="Times New Roman"/>
            <w:b w:val="0"/>
          </w:rPr>
          <w:t xml:space="preserve">17 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Закупочная комиссия отклоняет заявку, поданную на участие в закупке.</w:t>
      </w:r>
      <w:bookmarkEnd w:id="5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</w:t>
      </w:r>
      <w:r>
        <w:rPr>
          <w:rFonts w:ascii="Times New Roman" w:hAnsi="Times New Roman" w:cs="Times New Roman"/>
          <w:b w:val="0"/>
          <w:bCs w:val="0"/>
        </w:rPr>
        <w:t xml:space="preserve">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9" w:name="_3.4.5._В_с"/>
      <w:r/>
      <w:bookmarkStart w:id="60" w:name="_В_случае,_если"/>
      <w:r/>
      <w:bookmarkEnd w:id="59"/>
      <w:r/>
      <w:bookmarkEnd w:id="60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</w:t>
      </w:r>
      <w:r>
        <w:rPr>
          <w:rFonts w:ascii="Times New Roman" w:hAnsi="Times New Roman" w:cs="Times New Roman"/>
          <w:b w:val="0"/>
          <w:bCs w:val="0"/>
        </w:rPr>
        <w:t xml:space="preserve">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30"/>
        <w:numPr>
          <w:ilvl w:val="0"/>
          <w:numId w:val="8"/>
        </w:numPr>
        <w:ind w:left="0" w:firstLine="567"/>
        <w:jc w:val="both"/>
      </w:pPr>
      <w:r>
        <w:t xml:space="preserve">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/>
    </w:p>
    <w:p>
      <w:pPr>
        <w:pStyle w:val="1430"/>
        <w:numPr>
          <w:ilvl w:val="0"/>
          <w:numId w:val="8"/>
        </w:numPr>
        <w:ind w:left="0" w:firstLine="567"/>
        <w:jc w:val="both"/>
      </w:pPr>
      <w:r>
        <w:t xml:space="preserve">в соглашении должно быть приведено распределение объемов, стоимости (в процентах) и сроков выполнения работ/услуг/поставок между членами коллективного участника;</w:t>
      </w:r>
      <w:r/>
    </w:p>
    <w:p>
      <w:pPr>
        <w:pStyle w:val="1430"/>
        <w:numPr>
          <w:ilvl w:val="0"/>
          <w:numId w:val="8"/>
        </w:numPr>
        <w:ind w:left="0" w:firstLine="567"/>
        <w:jc w:val="both"/>
      </w:pPr>
      <w:r>
        <w:t xml:space="preserve">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/>
    </w:p>
    <w:p>
      <w:pPr>
        <w:pStyle w:val="1430"/>
        <w:numPr>
          <w:ilvl w:val="0"/>
          <w:numId w:val="8"/>
        </w:numPr>
        <w:ind w:left="0" w:firstLine="567"/>
        <w:jc w:val="both"/>
      </w:pPr>
      <w:r>
        <w:t xml:space="preserve">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/>
    </w:p>
    <w:p>
      <w:pPr>
        <w:pStyle w:val="1430"/>
        <w:numPr>
          <w:ilvl w:val="0"/>
          <w:numId w:val="8"/>
        </w:numPr>
        <w:ind w:left="0" w:firstLine="567"/>
        <w:jc w:val="both"/>
      </w:pPr>
      <w: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/>
    </w:p>
    <w:p>
      <w:pPr>
        <w:pStyle w:val="1430"/>
        <w:numPr>
          <w:ilvl w:val="0"/>
          <w:numId w:val="8"/>
        </w:numPr>
        <w:ind w:left="0" w:firstLine="567"/>
        <w:jc w:val="both"/>
        <w:rPr>
          <w:bCs/>
        </w:rPr>
      </w:pPr>
      <w:r>
        <w:t xml:space="preserve">срок действия соглашения должен быть не менее, чем срок действия договора.</w:t>
      </w:r>
      <w:r>
        <w:rPr>
          <w:bCs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1" w:name="_3.4.6._В_с"/>
      <w:r/>
      <w:bookmarkStart w:id="62" w:name="_В_случае,_если_1"/>
      <w:r/>
      <w:bookmarkEnd w:id="61"/>
      <w:r/>
      <w:bookmarkEnd w:id="62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30"/>
        <w:numPr>
          <w:ilvl w:val="0"/>
          <w:numId w:val="8"/>
        </w:numPr>
        <w:ind w:left="0" w:firstLine="567"/>
        <w:jc w:val="both"/>
      </w:pPr>
      <w:r>
        <w:t xml:space="preserve">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pStyle w:val="1430"/>
        <w:numPr>
          <w:ilvl w:val="0"/>
          <w:numId w:val="8"/>
        </w:numPr>
        <w:ind w:left="0" w:firstLine="567"/>
        <w:jc w:val="both"/>
        <w:rPr>
          <w:rStyle w:val="1337"/>
          <w:bCs/>
        </w:rPr>
      </w:pPr>
      <w:r>
        <w:t xml:space="preserve">в отношении каждого из членов коллективного участника предоставляются документы и сведения, предусмотренные пунктом </w:t>
      </w:r>
      <w:hyperlink w:tooltip="#_Сведения_и_документы," w:anchor="_Сведения_и_документы," w:history="1">
        <w:r>
          <w:rPr>
            <w:rStyle w:val="1337"/>
          </w:rPr>
          <w:t xml:space="preserve">17 части II «ИНФОРМАЦИОННАЯ КАРТА ЗАКУПКИ»</w:t>
        </w:r>
      </w:hyperlink>
      <w:r>
        <w:rPr>
          <w:rStyle w:val="1337"/>
          <w:bCs/>
          <w:color w:val="000000" w:themeColor="text1"/>
          <w:u w:val="none"/>
        </w:rPr>
        <w:t xml:space="preserve">.</w:t>
      </w:r>
      <w:r>
        <w:rPr>
          <w:rStyle w:val="1337"/>
          <w:bCs/>
        </w:rPr>
      </w:r>
    </w:p>
    <w:p>
      <w:pPr>
        <w:pStyle w:val="1430"/>
        <w:numPr>
          <w:ilvl w:val="0"/>
          <w:numId w:val="8"/>
        </w:numPr>
        <w:ind w:left="0" w:firstLine="567"/>
        <w:jc w:val="both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pStyle w:val="1430"/>
        <w:numPr>
          <w:ilvl w:val="0"/>
          <w:numId w:val="8"/>
        </w:numPr>
        <w:ind w:left="0" w:firstLine="567"/>
        <w:jc w:val="both"/>
      </w:pPr>
      <w:r>
        <w:t xml:space="preserve">в состав заявки дополнительно включается соглашение между членами коллективного участника.</w:t>
      </w:r>
      <w:r/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Toc22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63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4" w:name="_Ref166314630"/>
      <w:r/>
      <w:bookmarkStart w:id="65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 (цену лота), указанную в извещении закупке и в пункте </w:t>
      </w:r>
      <w:hyperlink w:tooltip="#_Сведения_о_начальной" w:anchor="_Сведения_о_начальной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64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</w:t>
      </w:r>
      <w:r>
        <w:rPr>
          <w:rFonts w:ascii="Times New Roman" w:hAnsi="Times New Roman" w:cs="Times New Roman"/>
          <w:b w:val="0"/>
          <w:bCs w:val="0"/>
        </w:rPr>
        <w:t xml:space="preserve">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6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</w:t>
      </w:r>
      <w:r>
        <w:rPr>
          <w:rFonts w:ascii="Times New Roman" w:hAnsi="Times New Roman" w:cs="Times New Roman"/>
          <w:b w:val="0"/>
          <w:bCs w:val="0"/>
        </w:rPr>
        <w:t xml:space="preserve">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>
        <w:rPr>
          <w:rFonts w:ascii="Times New Roman" w:hAnsi="Times New Roman" w:cs="Times New Roman"/>
          <w:b w:val="0"/>
        </w:rPr>
        <w:t xml:space="preserve"> если иное не установлено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30"/>
        <w:numPr>
          <w:ilvl w:val="2"/>
          <w:numId w:val="1"/>
        </w:numPr>
        <w:ind w:left="0" w:firstLine="567"/>
        <w:jc w:val="both"/>
      </w:pPr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</w:t>
      </w:r>
      <w:r>
        <w:t xml:space="preserve">ых предложений (цены предложения на переторжке (далее - дополнительных ценовых предложений))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66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hyperlink w:tooltip="#_ТЕХНИЧЕСКАЯ_ЧАСТЬ" w:anchor="_ТЕХНИЧЕСКАЯ_ЧАСТЬ" w:history="1">
        <w:r>
          <w:rPr>
            <w:rStyle w:val="1337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37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 формами, установленными в части </w:t>
      </w:r>
      <w:hyperlink w:tooltip="#_РАЗДЕЛ_I_4_ОБРАЗЦЫ_ФОРМ_И_ДОКУМЕНТО" w:anchor="_РАЗДЕЛ_I_4_ОБРАЗЦЫ_ФОРМ_И_ДОКУМЕНТО" w:history="1">
        <w:r>
          <w:rPr>
            <w:rStyle w:val="1337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hyperlink w:tooltip="#_ТЕХНИЧЕСКАЯ_ЧАСТЬ" w:anchor="_ТЕХНИЧЕСКАЯ_ЧАСТЬ" w:history="1">
        <w:r>
          <w:rPr>
            <w:rStyle w:val="1337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37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7" w:name="_Hlk160542448"/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</w:t>
      </w:r>
      <w:bookmarkEnd w:id="67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</w:t>
      </w:r>
      <w:r>
        <w:rPr>
          <w:rFonts w:ascii="Times New Roman" w:hAnsi="Times New Roman" w:cs="Times New Roman"/>
          <w:b w:val="0"/>
          <w:bCs w:val="0"/>
        </w:rPr>
        <w:t xml:space="preserve">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 части </w:t>
      </w:r>
      <w:hyperlink w:tooltip="#_ТЕХНИЧЕСКАЯ_ЧАСТЬ" w:anchor="_ТЕХНИЧЕСКАЯ_ЧАСТЬ" w:history="1">
        <w:r>
          <w:rPr>
            <w:rStyle w:val="1337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37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</w:t>
      </w:r>
      <w:hyperlink w:tooltip="#_ТЕХНИЧЕСКАЯ_ЧАСТЬ" w:anchor="_ТЕХНИЧЕСКАЯ_ЧАСТЬ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V 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</w:t>
      </w:r>
      <w:r>
        <w:rPr>
          <w:rFonts w:ascii="Times New Roman" w:hAnsi="Times New Roman" w:cs="Times New Roman"/>
          <w:b w:val="0"/>
          <w:bCs w:val="0"/>
        </w:rPr>
        <w:t xml:space="preserve">ей, сопровождаемые словами «или эквивалент», участник процедуры закупки в случае предложения эквивалентной продукции при описании ее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3.6._Требо"/>
      <w:r/>
      <w:bookmarkStart w:id="69" w:name="_Требования_к_обеспечению"/>
      <w:r/>
      <w:bookmarkStart w:id="70" w:name="_Ref119429503"/>
      <w:r/>
      <w:bookmarkStart w:id="71" w:name="_Toc23"/>
      <w:r/>
      <w:bookmarkEnd w:id="68"/>
      <w:r/>
      <w:bookmarkEnd w:id="65"/>
      <w:r/>
      <w:bookmarkEnd w:id="69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70"/>
      <w:r/>
      <w:bookmarkEnd w:id="71"/>
      <w:r/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/>
      <w:bookmarkStart w:id="72" w:name="_Возврат_участнику_закупки"/>
      <w:r/>
      <w:bookmarkStart w:id="73" w:name="_Ref535415072"/>
      <w:r/>
      <w:bookmarkEnd w:id="72"/>
      <w:r>
        <w:t xml:space="preserve">В случае если размер начальной (максимальной) цены закупки (цены лота) пр</w:t>
      </w:r>
      <w:r>
        <w:t xml:space="preserve">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не более 5 (пяти) процентов от начальной (максимальной) цены договора. Обеспечение заявки может быть </w:t>
      </w:r>
      <w:r>
        <w:t xml:space="preserve">представлено в форме внесения дене</w:t>
      </w:r>
      <w: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t xml:space="preserve">. </w:t>
      </w:r>
      <w:r/>
    </w:p>
    <w:p>
      <w:pPr>
        <w:numPr>
          <w:ilvl w:val="2"/>
          <w:numId w:val="1"/>
        </w:numPr>
        <w:ind w:left="0" w:firstLine="567"/>
        <w:spacing w:after="0"/>
        <w:rPr>
          <w:color w:val="0000ff"/>
          <w:u w:val="single"/>
        </w:rPr>
        <w:outlineLvl w:val="2"/>
      </w:pPr>
      <w:r>
        <w:t xml:space="preserve">Денежные средства вносятся участником закупки на Лицевой счет участника закупки, открытый оператором электронной площадки в соответствии с правилами, установленными Регламентом работы ЭТП</w:t>
      </w:r>
      <w:r>
        <w:rPr>
          <w:bCs/>
        </w:rPr>
        <w:t xml:space="preserve">. Информация о перечислении средств на Лицевой счет ЭТП, либо на </w:t>
      </w:r>
      <w:r>
        <w:t xml:space="preserve">счет Заказчика установлена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rPr>
          <w:color w:val="0000ff"/>
          <w:u w:val="single"/>
        </w:rPr>
        <w:t xml:space="preserve">.</w:t>
      </w:r>
      <w:r>
        <w:rPr>
          <w:color w:val="0000ff"/>
          <w:u w:val="single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Порядок и случаи блокиро</w:t>
      </w:r>
      <w:r>
        <w:t xml:space="preserve">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ЭТП. 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  Денежные средства, внесенные на счет Заказчика в качестве обеспечения заявки на участие в закупке возвращаются:</w:t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всем участникам закупки, за исключением участника закупки, заявке которого присвоен первый номер, в срок не более 7 (семи) рабочих дней со дня подписания протокола, составленного по результатам закупки;</w:t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участнику закупки, заявке которого присвоен первый номер, в срок не более 7 (семи) рабочи</w:t>
      </w:r>
      <w:r>
        <w:rPr>
          <w:bCs/>
        </w:rPr>
        <w:t xml:space="preserve">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Возврат участнику закупки денежных средств, внесенных в качестве обеспечения заявки, не производится, а независимая гарантия предъявляется банку-гаранту для выплаты суммы обеспечения исполнения обязательств в следующих случаях:</w:t>
      </w:r>
      <w:bookmarkEnd w:id="73"/>
      <w:r/>
      <w:r/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гарантию, составленную с учетом требований статей </w:t>
      </w:r>
      <w:hyperlink r:id="rId24" w:tooltip="https://www.consultant.ru/document/cons_doc_LAW_5142/03edc46b2ef855fddfaaa3d77dac1d071ef3dba1/" w:history="1">
        <w:r>
          <w:rPr>
            <w:color w:val="0000ff"/>
            <w:u w:val="single"/>
          </w:rPr>
          <w:t xml:space="preserve">368</w:t>
        </w:r>
      </w:hyperlink>
      <w:r>
        <w:t xml:space="preserve">-</w:t>
      </w:r>
      <w:hyperlink r:id="rId25" w:tooltip="https://www.consultant.ru/document/cons_doc_LAW_5142/e8b1dba1c6def4f632470a9857908caf60fec137/" w:history="1">
        <w:r>
          <w:rPr>
            <w:color w:val="0000ff"/>
            <w:u w:val="single"/>
          </w:rPr>
          <w:t xml:space="preserve">379</w:t>
        </w:r>
      </w:hyperlink>
      <w:r>
        <w:t xml:space="preserve"> Гражданского кодекса Российской Федерации и следующих условий: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гарантом, предусмотренным </w:t>
      </w:r>
      <w:hyperlink r:id="rId26" w:tooltip="https://www.consultant.ru/document/cons_doc_LAW_144624/af90cad46f4484d18fa490ef1c9d7a3b2fd3be3b/#dst2441" w:anchor="dst2441" w:history="1">
        <w:r>
          <w:rPr>
            <w:rStyle w:val="1337"/>
            <w:bCs/>
          </w:rPr>
          <w:t xml:space="preserve">частью 1 статьи 45 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может быть отозвана выдавшим ее гарантом;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срок действия независимой гарантии должен заканчиваться не ранее, чем через 60 календарных дней с даты окончания срока подачи заявок;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в независимой гарантии должно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476"/>
        </w:rPr>
        <w:t xml:space="preserve">кредитная организация обладает действующей лицензией на банковскую деятельность, выданной Банком России</w:t>
      </w:r>
      <w:r>
        <w:rPr>
          <w:rStyle w:val="1476"/>
          <w:vertAlign w:val="superscript"/>
        </w:rPr>
        <w:footnoteReference w:customMarkFollows="1" w:id="2"/>
        <w:t xml:space="preserve">1</w:t>
      </w:r>
      <w:r>
        <w:rPr>
          <w:rStyle w:val="1476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476"/>
          <w:vertAlign w:val="superscript"/>
        </w:rPr>
        <w:footnoteReference w:customMarkFollows="1" w:id="3"/>
        <w:t xml:space="preserve">2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476"/>
        </w:rPr>
        <w:t xml:space="preserve">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</w:t>
      </w:r>
      <w:r>
        <w:rPr>
          <w:rStyle w:val="1476"/>
        </w:rPr>
        <w:t xml:space="preserve">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19"/>
        </w:numPr>
        <w:ind w:left="0" w:firstLine="567"/>
        <w:spacing w:after="0"/>
      </w:pPr>
      <w:r/>
      <w:bookmarkStart w:id="74" w:name="_Hlk183437361"/>
      <w:r>
        <w:t xml:space="preserve">кредитная организация входит в перечень кредитных организаций, соответствующих требованиям, установленным</w:t>
      </w:r>
      <w:r>
        <w:t xml:space="preserve">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bookmarkEnd w:id="74"/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vertAlign w:val="superscript"/>
        </w:rPr>
        <w:footnoteReference w:customMarkFollows="1" w:id="4"/>
        <w:t xml:space="preserve">3.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5"/>
        <w:t xml:space="preserve">4</w:t>
      </w:r>
      <w:r/>
    </w:p>
    <w:tbl>
      <w:tblPr>
        <w:tblW w:w="9359" w:type="dxa"/>
        <w:tblInd w:w="-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3"/>
        <w:gridCol w:w="2976"/>
      </w:tblGrid>
      <w:tr>
        <w:tblPrEx/>
        <w:trPr>
          <w:trHeight w:val="79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customMarkFollows="1" w:id="6"/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customMarkFollows="1" w:id="7"/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5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8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3.6.8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19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долгосрочный кредитный рейтинг по национальной шкале, присвоенный аккредитованными Банком России </w:t>
      </w:r>
      <w:r>
        <w:rPr>
          <w:rFonts w:eastAsia="Arial Unicode MS" w:cs="Arial Unicode MS"/>
          <w:color w:val="000000"/>
        </w:rPr>
        <w:t xml:space="preserve">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8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9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0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2409"/>
        <w:gridCol w:w="2268"/>
        <w:gridCol w:w="2295"/>
      </w:tblGrid>
      <w:tr>
        <w:tblPrEx/>
        <w:trPr>
          <w:jc w:val="center"/>
          <w:trHeight w:val="30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ind w:left="567"/>
        <w:spacing w:after="0"/>
      </w:pPr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обеспечение заявки может быть оформлено в виде отдельной независимой гарантии по каждому лоту, либо в виде одной независимой гарантии на общую сумму гарантии по всем лотам, на которые участник подает заявки.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Вместе с гарантией </w:t>
      </w:r>
      <w:r>
        <w:rPr>
          <w:bCs/>
        </w:rPr>
        <w:t xml:space="preserve">участник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(оригинал/нотариально заверенная копия/копия, заверенная гарантом) (в случае</w:t>
      </w:r>
      <w:r>
        <w:rPr>
          <w:bCs/>
        </w:rPr>
        <w:t xml:space="preserve">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гаранта о назначении (избрании) единоличного исполнительного органа</w:t>
      </w:r>
      <w:r>
        <w:rPr>
          <w:bCs/>
        </w:rPr>
        <w:t xml:space="preserve">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Форма независимой гарантии, иные требования, связанные с независимой гарантией, установлены в части </w:t>
      </w:r>
      <w:hyperlink w:tooltip="#_VII._ТИПОВ" w:anchor="_VII._ТИПОВ" w:history="1">
        <w:r>
          <w:rPr>
            <w:rStyle w:val="1337"/>
          </w:rPr>
          <w:t xml:space="preserve">VII «ТИПОВЫЕ ФОРМЫ НЕЗАВИСИМЫХ ГАРАНТИЙ»</w:t>
        </w:r>
      </w:hyperlink>
      <w:r>
        <w:t xml:space="preserve">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Независимая гарантия, может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Несоответствие независимой гарантии, предоставленной участником закупки </w:t>
      </w:r>
      <w:r>
        <w:br/>
        <w:t xml:space="preserve">с требованиями, предусмотренными пунктом </w:t>
      </w:r>
      <w:hyperlink w:tooltip="#_3.6._Требо" w:anchor="_3.6._Требо" w:history="1">
        <w:r>
          <w:rPr>
            <w:rStyle w:val="1337"/>
          </w:rPr>
          <w:t xml:space="preserve">3.6</w:t>
        </w:r>
      </w:hyperlink>
      <w:r>
        <w:t xml:space="preserve"> Документации, является основанием для отказа в допуске к участию в закупке.</w:t>
      </w:r>
      <w:r/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Взыскание по независимой гарантии производится при наступлении обстоятельств, предусмотренных независимой гарантией.</w:t>
      </w:r>
      <w:r>
        <w:rPr>
          <w:rFonts w:ascii="Times New Roman" w:hAnsi="Times New Roman" w:cs="Times New Roman"/>
          <w:b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Порядок_действий,_осуществляемых"/>
      <w:r/>
      <w:bookmarkStart w:id="76" w:name="_Toc24"/>
      <w:r/>
      <w:bookmarkEnd w:id="75"/>
      <w:r>
        <w:rPr>
          <w:sz w:val="24"/>
          <w:szCs w:val="24"/>
        </w:rPr>
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</w:r>
      <w:bookmarkEnd w:id="76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Под аномально низкой ценой понимается снижение цены участ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ником закупки относительно начальной (максимальной) цены договора (цены лота) или условной (максимальной) цены договора (в случае  заключения договора по результатам закупки фиксирующего номенклатуру продукции и единичные расценки на нее, и приобретение за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казчиком товаров (работ, услуг) по фактической потребности из числа установленной договором номенклатуры и по цене согласно установленным единичным расценкам), указанной в извещении о закупки и документации о закупке на 25 (двадцать пять) и более процентов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7" w:name="_3.7.2._В_с"/>
      <w:r/>
      <w:bookmarkStart w:id="78" w:name="_В_случае_если"/>
      <w:r/>
      <w:bookmarkEnd w:id="77"/>
      <w:r/>
      <w:bookmarkEnd w:id="78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</w:t>
      </w:r>
      <w:r>
        <w:rPr>
          <w:rFonts w:ascii="Times New Roman" w:hAnsi="Times New Roman" w:cs="Times New Roman"/>
          <w:b w:val="0"/>
        </w:rPr>
        <w:t xml:space="preserve">дителем (либо единственным участником, признанным соответствующим требованиям извещения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tbl>
      <w:tblPr>
        <w:tblW w:w="946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826"/>
        <w:gridCol w:w="1700"/>
        <w:gridCol w:w="1702"/>
        <w:gridCol w:w="3793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Матрица договорных условий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размера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по обеспечению исполнения договора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Авансирование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на возврат авансового платежа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5% (пять) от начальной (максимальной) цены договора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</w:t>
            </w:r>
            <w:r>
              <w:rPr>
                <w:sz w:val="22"/>
                <w:szCs w:val="22"/>
              </w:rPr>
              <w:t xml:space="preserve">начально установленного обеспечение исполнения договора в 1,5 (полтора) раза, но не менее 5% (пяти) от начальной (максимальной) цены договора, и обеспечение возврата авансовых платежей в размере, установленном в документации о закупке (извещении о закупке)</w:t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</w:t>
      </w:r>
      <w:r>
        <w:rPr>
          <w:rFonts w:ascii="Times New Roman" w:hAnsi="Times New Roman" w:cs="Times New Roman"/>
          <w:b w:val="0"/>
          <w:bCs w:val="0"/>
        </w:rPr>
        <w:t xml:space="preserve">ика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участником закупки решения о предоставлении обеспечения исполнения обязательств по договору, предусмотренного в пункте </w:t>
      </w:r>
      <w:hyperlink w:tooltip="#_3.7.2._В_с" w:anchor="_3.7.2._В_с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3.7.2 </w:t>
        </w:r>
      </w:hyperlink>
      <w:r>
        <w:rPr>
          <w:rFonts w:ascii="Times New Roman" w:hAnsi="Times New Roman" w:cs="Times New Roman"/>
          <w:b w:val="0"/>
          <w:bCs w:val="0"/>
        </w:rPr>
        <w:t xml:space="preserve">документации о закупке в форме денежных средств, такие средства перечи</w:t>
      </w:r>
      <w:r>
        <w:rPr>
          <w:rFonts w:ascii="Times New Roman" w:hAnsi="Times New Roman" w:cs="Times New Roman"/>
          <w:b w:val="0"/>
          <w:bCs w:val="0"/>
        </w:rPr>
        <w:t xml:space="preserve">сляются на расчетный счет Заказчика, указанный в соответствующем разделе Проекта договора.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</w:t>
      </w:r>
      <w:r>
        <w:rPr>
          <w:rFonts w:ascii="Times New Roman" w:hAnsi="Times New Roman" w:cs="Times New Roman"/>
          <w:b w:val="0"/>
          <w:bCs w:val="0"/>
        </w:rPr>
        <w:t xml:space="preserve"> предоставления обеспечения исполнения договора устанавливается в проекте договора. В случае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решения о предоставлении обеспечения исполнения обязательств по договору, предусмотренного в пункте </w:t>
      </w:r>
      <w:hyperlink w:tooltip="#_В_случае_если" w:anchor="_В_случае_если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3.7.2</w:t>
        </w:r>
      </w:hyperlink>
      <w:r>
        <w:rPr>
          <w:rFonts w:ascii="Times New Roman" w:hAnsi="Times New Roman" w:cs="Times New Roman"/>
          <w:b w:val="0"/>
          <w:bCs w:val="0"/>
        </w:rPr>
        <w:t xml:space="preserve"> документации о закупке в форме независимой гарантии, такая гарантия, а также банк-гарант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6.3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проект договора не содержит раздела по предоставлению обеспечения исполнения договора и победителем закупки (единственным участником закупки) подано аномально низкое ценовое предложение, договор дополняется соответствующим разделом.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1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9" w:name="_Toc25"/>
      <w:r>
        <w:rPr>
          <w:sz w:val="24"/>
          <w:szCs w:val="24"/>
        </w:rPr>
        <w:t xml:space="preserve">ПОДАЧА ЗАЯВОК НА УЧАСТИЕ В ЗАКУПКЕ</w:t>
      </w:r>
      <w:bookmarkEnd w:id="79"/>
      <w:r/>
      <w:r>
        <w:rPr>
          <w:sz w:val="24"/>
          <w:szCs w:val="24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0" w:name="_Ref166249895"/>
      <w:r/>
      <w:bookmarkStart w:id="81" w:name="_Toc26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80"/>
      <w:r>
        <w:rPr>
          <w:sz w:val="24"/>
          <w:szCs w:val="24"/>
        </w:rPr>
        <w:t xml:space="preserve">закупке</w:t>
      </w:r>
      <w:bookmarkEnd w:id="81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ЭТП в сроки, установленные в пункте </w:t>
      </w:r>
      <w:hyperlink w:tooltip="#_Дата_рассмотрения_предложений" w:anchor="_Дата_рассмотрения_предложений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Ref119429670"/>
      <w:r/>
      <w:bookmarkStart w:id="83" w:name="_Toc27"/>
      <w:r>
        <w:rPr>
          <w:sz w:val="24"/>
          <w:szCs w:val="24"/>
        </w:rPr>
        <w:t xml:space="preserve">Изменения и отзыв заявок на участие в </w:t>
      </w:r>
      <w:bookmarkEnd w:id="82"/>
      <w:r>
        <w:rPr>
          <w:sz w:val="24"/>
          <w:szCs w:val="24"/>
        </w:rPr>
        <w:t xml:space="preserve">закупке</w:t>
      </w:r>
      <w:bookmarkEnd w:id="83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11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84" w:name="_Toc28"/>
      <w:r/>
      <w:bookmarkStart w:id="85" w:name="_Ref119430360"/>
      <w:r>
        <w:rPr>
          <w:sz w:val="24"/>
          <w:szCs w:val="24"/>
        </w:rPr>
        <w:t xml:space="preserve">ПОРЯДОК ПРОВЕДЕНИЯ ЗАКУПКИ</w:t>
      </w:r>
      <w:bookmarkEnd w:id="84"/>
      <w:r/>
      <w:r>
        <w:rPr>
          <w:sz w:val="24"/>
          <w:szCs w:val="24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29"/>
      <w:r/>
      <w:bookmarkStart w:id="87" w:name="_Ref125827199"/>
      <w:r/>
      <w:bookmarkEnd w:id="85"/>
      <w:r>
        <w:rPr>
          <w:sz w:val="24"/>
          <w:szCs w:val="24"/>
        </w:rPr>
        <w:t xml:space="preserve">Закупочная комиссия</w:t>
      </w:r>
      <w:bookmarkEnd w:id="86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8" w:name="_Toc30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8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</w:t>
      </w:r>
      <w:r>
        <w:rPr>
          <w:rFonts w:ascii="Times New Roman" w:hAnsi="Times New Roman" w:cs="Times New Roman"/>
          <w:b w:val="0"/>
          <w:bCs w:val="0"/>
        </w:rPr>
        <w:t xml:space="preserve">основании </w:t>
      </w:r>
      <w:r>
        <w:rPr>
          <w:rFonts w:ascii="Times New Roman" w:hAnsi="Times New Roman" w:cs="Times New Roman"/>
          <w:b w:val="0"/>
          <w:bCs w:val="0"/>
        </w:rPr>
        <w:t xml:space="preserve">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</w:t>
      </w:r>
      <w:r>
        <w:rPr>
          <w:rFonts w:ascii="Times New Roman" w:hAnsi="Times New Roman" w:cs="Times New Roman"/>
          <w:b w:val="0"/>
          <w:bCs w:val="0"/>
        </w:rPr>
        <w:t xml:space="preserve">я вправе направить участнику закупки запрос на разъяснение положений заявки участника, с указанием срока его выполнения. При этом, не допускаются запросы или требования о представлении участником недостающих документов. Не принимаются к рассмотрению докуме</w:t>
      </w:r>
      <w:r>
        <w:rPr>
          <w:rFonts w:ascii="Times New Roman" w:hAnsi="Times New Roman" w:cs="Times New Roman"/>
          <w:b w:val="0"/>
          <w:bCs w:val="0"/>
        </w:rPr>
        <w:t xml:space="preserve">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30"/>
        <w:numPr>
          <w:ilvl w:val="0"/>
          <w:numId w:val="10"/>
        </w:numPr>
        <w:ind w:left="0" w:firstLine="567"/>
        <w:jc w:val="both"/>
      </w:pPr>
      <w:r>
        <w:t xml:space="preserve">в случае отсутствия в составе заявки документов и сведений, предусмотренных для предоставления в заявки, указанных в пункте </w:t>
      </w:r>
      <w:hyperlink w:tooltip="#_Сведения_и_документы," w:anchor="_Сведения_и" w:history="1">
        <w:r>
          <w:rPr>
            <w:rStyle w:val="1337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430"/>
        <w:numPr>
          <w:ilvl w:val="0"/>
          <w:numId w:val="10"/>
        </w:numPr>
        <w:ind w:left="0" w:firstLine="567"/>
        <w:jc w:val="both"/>
        <w:rPr>
          <w:rStyle w:val="1337"/>
          <w:color w:val="auto"/>
          <w:u w:val="none"/>
        </w:rPr>
      </w:pPr>
      <w:r>
        <w:t xml:space="preserve">несоответствие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337"/>
          </w:rPr>
          <w:t xml:space="preserve">1.4 части I «ОБЩИЕ УСЛОВИЯ ПРОВЕДЕНИЯ ЗАКУПКИ»</w:t>
        </w:r>
      </w:hyperlink>
      <w:r>
        <w:rPr>
          <w:rStyle w:val="1337"/>
          <w:color w:val="000000" w:themeColor="text1"/>
          <w:u w:val="none"/>
        </w:rPr>
        <w:t xml:space="preserve">;</w:t>
      </w:r>
      <w:r>
        <w:rPr>
          <w:rStyle w:val="1337"/>
          <w:color w:val="auto"/>
          <w:u w:val="none"/>
        </w:rPr>
      </w:r>
    </w:p>
    <w:p>
      <w:pPr>
        <w:pStyle w:val="1430"/>
        <w:numPr>
          <w:ilvl w:val="0"/>
          <w:numId w:val="10"/>
        </w:numPr>
        <w:ind w:left="0" w:firstLine="567"/>
        <w:jc w:val="both"/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337"/>
          </w:rPr>
          <w:t xml:space="preserve">3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337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337"/>
          </w:rPr>
          <w:t xml:space="preserve">5 части II «ИНФОРМАЦИОННАЯ КАРТА ЗАКУПКИ»</w:t>
        </w:r>
      </w:hyperlink>
      <w:r>
        <w:rPr>
          <w:rStyle w:val="1337"/>
          <w:color w:val="000000" w:themeColor="text1"/>
          <w:u w:val="none"/>
        </w:rPr>
        <w:t xml:space="preserve">;</w:t>
      </w:r>
      <w:r/>
    </w:p>
    <w:p>
      <w:pPr>
        <w:pStyle w:val="1430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430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337"/>
          </w:rPr>
          <w:t xml:space="preserve">11 части II «ИНФОРМАЦИОННАЯ КАРТА ЗАКУПКИ»</w:t>
        </w:r>
      </w:hyperlink>
      <w:r>
        <w:rPr>
          <w:rStyle w:val="1337"/>
          <w:color w:val="000000" w:themeColor="text1"/>
          <w:u w:val="none"/>
        </w:rPr>
        <w:t xml:space="preserve">);</w:t>
      </w:r>
      <w:r/>
    </w:p>
    <w:p>
      <w:pPr>
        <w:pStyle w:val="1430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t xml:space="preserve">цена заявки участника превышает установленную в пункте </w:t>
      </w:r>
      <w:hyperlink w:tooltip="#_Сведения_о_начальной" w:anchor="_Сведения_о" w:history="1">
        <w:r>
          <w:rPr>
            <w:rStyle w:val="1337"/>
          </w:rPr>
          <w:t xml:space="preserve">7 части II «ИНФОРМАЦИОННАЯ КАРТА ЗАКУПКИ»</w:t>
        </w:r>
      </w:hyperlink>
      <w:r>
        <w:t xml:space="preserve"> начальную (максимальную) цену договора (цену лота), в случае непредставления документов и сведений, предусмотренных для предоставления в составе ценового предложения, указанных в </w:t>
      </w:r>
      <w:hyperlink w:tooltip="#_Сведения_и_документы," w:anchor="_Сведения_и_документы," w:history="1">
        <w:r>
          <w:t xml:space="preserve">пункте </w:t>
        </w:r>
        <w:r>
          <w:rPr>
            <w:rStyle w:val="1337"/>
          </w:rPr>
          <w:t xml:space="preserve">17 части II «ИНФОРМАЦИОННАЯ КАРТА ЗАКУПКИ»</w:t>
        </w:r>
      </w:hyperlink>
      <w:r>
        <w:rPr>
          <w:color w:val="0000ff"/>
        </w:rPr>
        <w:t xml:space="preserve">.</w:t>
      </w:r>
      <w:r/>
    </w:p>
    <w:p>
      <w:pPr>
        <w:pStyle w:val="1430"/>
        <w:numPr>
          <w:ilvl w:val="0"/>
          <w:numId w:val="10"/>
        </w:numPr>
        <w:ind w:left="0" w:firstLine="567"/>
        <w:jc w:val="both"/>
      </w:pPr>
      <w:r>
        <w:t xml:space="preserve">наличие в составе заявки недостоверных сведений.</w:t>
      </w:r>
      <w:r/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</w:t>
      </w:r>
      <w:r>
        <w:rPr>
          <w:rFonts w:ascii="Times New Roman" w:hAnsi="Times New Roman" w:cs="Times New Roman"/>
          <w:b w:val="0"/>
          <w:bCs w:val="0"/>
        </w:rPr>
        <w:t xml:space="preserve">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0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</w:p>
    <w:p>
      <w:pPr>
        <w:pStyle w:val="1120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9" w:name="_Toc31"/>
      <w:r>
        <w:rPr>
          <w:sz w:val="24"/>
          <w:szCs w:val="24"/>
        </w:rPr>
        <w:t xml:space="preserve">Критерии оценки заявок участников закупки</w:t>
      </w:r>
      <w:bookmarkEnd w:id="89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</w:t>
      </w:r>
      <w:hyperlink w:tooltip="#_Дата_рассмотрения_предложений" w:anchor="_Дата_рассмотрения_предложений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с учетом сведений и документов, содержащихся в заявках участников закупок, направл</w:t>
      </w:r>
      <w:r>
        <w:rPr>
          <w:rFonts w:ascii="Times New Roman" w:hAnsi="Times New Roman" w:cs="Times New Roman"/>
          <w:b w:val="0"/>
          <w:bCs w:val="0"/>
        </w:rPr>
        <w:t xml:space="preserve">яемых Заказчику оператором 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Победителем закупки признается участник закупки, заявка на участие в закупке, окончательное предложение которого соответствует требованиям, устано</w:t>
      </w:r>
      <w:r>
        <w:rPr>
          <w:rFonts w:ascii="Times New Roman" w:hAnsi="Times New Roman" w:cs="Times New Roman"/>
          <w:b w:val="0"/>
          <w:bCs w:val="0"/>
        </w:rPr>
        <w:t xml:space="preserve">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0" w:name="_Toc32"/>
      <w:r>
        <w:rPr>
          <w:sz w:val="24"/>
          <w:szCs w:val="24"/>
        </w:rPr>
        <w:t xml:space="preserve">Особенности осуществления рассмотрения общих частей заявок.</w:t>
      </w:r>
      <w:bookmarkEnd w:id="90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общие части заявок участников на предмет их соответствия требованиям, установленным документацией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отклоняет заявку участника на этапе рассмотрения общих частей заявок по следующим основаниям:</w:t>
      </w:r>
      <w:r>
        <w:rPr>
          <w:rFonts w:ascii="Times New Roman" w:hAnsi="Times New Roman" w:cs="Times New Roman"/>
          <w:b w:val="0"/>
        </w:rPr>
      </w:r>
    </w:p>
    <w:p>
      <w:pPr>
        <w:pStyle w:val="14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в случае отсутствия в составе общей части заявки документов и сведений, предусмотренных для предоставления в общей части заявки, указанных в пункте </w:t>
      </w:r>
      <w:hyperlink w:tooltip="#_Сведения_и_документы," w:anchor="_Сведения_и" w:history="1">
        <w:r>
          <w:rPr>
            <w:rStyle w:val="1337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4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337"/>
          </w:rPr>
          <w:t xml:space="preserve">1.4 части I «ОБЩИЕ УСЛОВИЯ ПРОВЕДЕНИЯ ЗАКУПКИ»</w:t>
        </w:r>
      </w:hyperlink>
      <w:r>
        <w:t xml:space="preserve">;</w:t>
      </w:r>
      <w:r/>
    </w:p>
    <w:p>
      <w:pPr>
        <w:pStyle w:val="14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частях IV – V документации о закупке </w:t>
      </w:r>
      <w:r>
        <w:t xml:space="preserve">и пункта </w:t>
      </w:r>
      <w:hyperlink w:tooltip="#_Предмет_договора_с" w:anchor="_Предмет_договора_с" w:history="1">
        <w:r>
          <w:rPr>
            <w:rStyle w:val="1337"/>
          </w:rPr>
          <w:t xml:space="preserve">3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337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337"/>
          </w:rPr>
          <w:t xml:space="preserve">5 части II «ИНФОРМАЦИОННАЯ КАРТА ЗАКУПКИ»</w:t>
        </w:r>
      </w:hyperlink>
      <w:r>
        <w:t xml:space="preserve">;</w:t>
      </w:r>
      <w:r/>
    </w:p>
    <w:p>
      <w:pPr>
        <w:pStyle w:val="14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337"/>
          </w:rPr>
          <w:t xml:space="preserve">11 части II «ИНФОРМАЦИОННАЯ КАРТА ЗАКУПКИ»</w:t>
        </w:r>
      </w:hyperlink>
      <w:r>
        <w:rPr>
          <w:rStyle w:val="1337"/>
          <w:color w:val="000000" w:themeColor="text1"/>
          <w:u w:val="none"/>
        </w:rPr>
        <w:t xml:space="preserve">);</w:t>
      </w:r>
      <w:r/>
    </w:p>
    <w:p>
      <w:pPr>
        <w:pStyle w:val="14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430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наличие в составе заявки недостоверных сведений.</w:t>
      </w:r>
      <w:r/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33"/>
      <w:r>
        <w:rPr>
          <w:sz w:val="24"/>
          <w:szCs w:val="24"/>
        </w:rPr>
        <w:t xml:space="preserve">Особенности осуществления рассмотрения и сопоставления ценовых предложений участников закупки</w:t>
      </w:r>
      <w:bookmarkEnd w:id="91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комис</w:t>
      </w:r>
      <w:r>
        <w:rPr>
          <w:rFonts w:ascii="Times New Roman" w:hAnsi="Times New Roman" w:cs="Times New Roman"/>
          <w:b w:val="0"/>
          <w:bCs w:val="0"/>
        </w:rPr>
        <w:t xml:space="preserve">сией после направления оператором 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</w:t>
      </w:r>
      <w:hyperlink w:tooltip="#_Приложение_№_1" w:anchor="_Приложение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том числе в части не превышения ценового предложения участника начальной (максимальной) цены договора/цены лота, не превышения единицы продукции (если такое требование установлено в документации о закупке).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на этапе рассмотрения ценовых предложений участников в случае, если </w:t>
      </w:r>
      <w:r>
        <w:rPr>
          <w:rFonts w:ascii="Times New Roman" w:hAnsi="Times New Roman"/>
          <w:b w:val="0"/>
        </w:rPr>
        <w:t xml:space="preserve">цена заявки участника превышает установленную </w:t>
      </w:r>
      <w:r>
        <w:rPr>
          <w:rFonts w:ascii="Times New Roman" w:hAnsi="Times New Roman" w:cs="Times New Roman"/>
          <w:b w:val="0"/>
          <w:bCs w:val="0"/>
        </w:rPr>
        <w:t xml:space="preserve">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начальную (максимальную) цену договора (цену лота), непредставления документов и сведений, в случае если предоставление таких документов и сведений предусмотрено для предоставления в составе ценового предложения и указано 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</w:rPr>
        <w:t xml:space="preserve">В случае несоответствия цены заявки, указанной на ЭТП и цены заявки отраженной в документах, определяющих коммерческое </w:t>
      </w:r>
      <w:r>
        <w:rPr>
          <w:rFonts w:ascii="Times New Roman" w:hAnsi="Times New Roman" w:cs="Times New Roman"/>
          <w:b w:val="0"/>
        </w:rPr>
        <w:t xml:space="preserve">предложение, к учету принимается цена, указанная на ЭТП.</w:t>
      </w:r>
      <w:r>
        <w:rPr>
          <w:rFonts w:ascii="Times New Roman" w:hAnsi="Times New Roman" w:cs="Times New Roman"/>
          <w:b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2" w:name="_Toc34"/>
      <w:r>
        <w:rPr>
          <w:sz w:val="24"/>
          <w:szCs w:val="24"/>
        </w:rPr>
        <w:t xml:space="preserve">Переторжка</w:t>
      </w:r>
      <w:bookmarkEnd w:id="92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условии допуска к участию в закупке одного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 при собственном лидирующем (наилу</w:t>
      </w:r>
      <w:r>
        <w:rPr>
          <w:rFonts w:ascii="Times New Roman" w:hAnsi="Times New Roman" w:cs="Times New Roman"/>
          <w:b w:val="0"/>
        </w:rPr>
        <w:t xml:space="preserve">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</w:t>
      </w:r>
      <w:r>
        <w:rPr>
          <w:rFonts w:ascii="Times New Roman" w:hAnsi="Times New Roman" w:cs="Times New Roman"/>
          <w:b w:val="0"/>
        </w:rPr>
        <w:t xml:space="preserve">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 (в случае если предоставление документов, определяющих их коммерческое предложение, предусмотрен</w:t>
      </w:r>
      <w:r>
        <w:rPr>
          <w:rFonts w:ascii="Times New Roman" w:hAnsi="Times New Roman" w:cs="Times New Roman"/>
          <w:b w:val="0"/>
          <w:bCs w:val="0"/>
        </w:rPr>
        <w:t xml:space="preserve">о в  пункте </w:t>
      </w:r>
      <w:hyperlink w:tooltip="#_Сведения_и_документы," w:anchor="_Сведения_и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  <w:bCs w:val="0"/>
          </w:rPr>
          <w:t xml:space="preserve">в пункте 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Время проведения первой процедуры переторжки (время ожидания ценовых предложений) указывается Заказчиком в  пункте </w:t>
      </w:r>
      <w:hyperlink w:tooltip="#_Порядок,_д" w:anchor="_Порядок,_д" w:history="1">
        <w:r>
          <w:rPr>
            <w:rStyle w:val="1337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Дата и время проведения процедур переторжки (повторных переторжек) указывается на сайте электронной площадки, информация о чем доводится до сведения участников закупки средствами ЭТП.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</w:t>
      </w:r>
      <w:r>
        <w:rPr>
          <w:rFonts w:ascii="Times New Roman" w:hAnsi="Times New Roman" w:cs="Times New Roman"/>
          <w:b w:val="0"/>
          <w:bCs w:val="0"/>
        </w:rPr>
        <w:t xml:space="preserve">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3" w:name="_Toc35"/>
      <w:r>
        <w:rPr>
          <w:sz w:val="24"/>
          <w:szCs w:val="24"/>
        </w:rPr>
        <w:t xml:space="preserve">Подведение итогов</w:t>
      </w:r>
      <w:bookmarkEnd w:id="93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</w:rPr>
          <w:t xml:space="preserve">в  пункте </w:t>
        </w:r>
        <w:r>
          <w:rPr>
            <w:rStyle w:val="1337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заявок участников, допущенных до участия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</w:t>
      </w:r>
      <w:r>
        <w:rPr>
          <w:rFonts w:ascii="Times New Roman" w:hAnsi="Times New Roman" w:cs="Times New Roman"/>
          <w:b w:val="0"/>
          <w:bCs w:val="0"/>
        </w:rPr>
        <w:t xml:space="preserve"> документации о закупке.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</w:t>
      </w:r>
      <w:r>
        <w:rPr>
          <w:rFonts w:ascii="Times New Roman" w:hAnsi="Times New Roman" w:cs="Times New Roman"/>
          <w:b w:val="0"/>
          <w:bCs w:val="0"/>
        </w:rPr>
        <w:t xml:space="preserve">тствует требованиям,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>
        <w:rPr>
          <w:rFonts w:ascii="Times New Roman" w:hAnsi="Times New Roman" w:cs="Times New Roman"/>
          <w:b w:val="0"/>
        </w:rPr>
        <w:t xml:space="preserve">результ</w:t>
      </w:r>
      <w:r>
        <w:rPr>
          <w:rFonts w:ascii="Times New Roman" w:hAnsi="Times New Roman" w:cs="Times New Roman"/>
          <w:b w:val="0"/>
        </w:rPr>
        <w:t xml:space="preserve">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4" w:name="_Toc36"/>
      <w:r>
        <w:rPr>
          <w:sz w:val="24"/>
          <w:szCs w:val="24"/>
        </w:rPr>
        <w:t xml:space="preserve">Признание закупки несостоявшейся</w:t>
      </w:r>
      <w:bookmarkEnd w:id="94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5" w:name="_Toc37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95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r>
        <w:t xml:space="preserve">В случае необходимости, после завершения процедуры закупки участник вправе направить в а</w:t>
      </w:r>
      <w: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/>
    </w:p>
    <w:p>
      <w:r/>
      <w:r/>
    </w:p>
    <w:p>
      <w:pPr>
        <w:pStyle w:val="1117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96" w:name="Par110"/>
      <w:r/>
      <w:bookmarkStart w:id="97" w:name="Par144"/>
      <w:r/>
      <w:bookmarkStart w:id="98" w:name="_Toc38"/>
      <w:r/>
      <w:bookmarkEnd w:id="87"/>
      <w:r/>
      <w:bookmarkEnd w:id="96"/>
      <w:r/>
      <w:bookmarkEnd w:id="97"/>
      <w:r>
        <w:rPr>
          <w:sz w:val="24"/>
          <w:szCs w:val="24"/>
        </w:rPr>
        <w:t xml:space="preserve">ЗАКЛЮЧЕНИЕ, ИЗМЕНЕНИЕ И РАСТОРЖЕНИЕ ДОГОВОРА</w:t>
      </w:r>
      <w:bookmarkEnd w:id="98"/>
      <w:r/>
      <w:r>
        <w:rPr>
          <w:sz w:val="24"/>
          <w:szCs w:val="24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9" w:name="_Обеспечения_исполнения_договора,"/>
      <w:r/>
      <w:bookmarkStart w:id="100" w:name="_Ref130891676"/>
      <w:r/>
      <w:bookmarkStart w:id="101" w:name="_Toc39"/>
      <w:r/>
      <w:bookmarkEnd w:id="99"/>
      <w:r>
        <w:rPr>
          <w:sz w:val="24"/>
          <w:szCs w:val="24"/>
        </w:rPr>
        <w:t xml:space="preserve">Срок и порядок заключения договора</w:t>
      </w:r>
      <w:bookmarkEnd w:id="100"/>
      <w:r/>
      <w:bookmarkEnd w:id="101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</w:t>
      </w:r>
      <w:r>
        <w:rPr>
          <w:rFonts w:ascii="Times New Roman" w:hAnsi="Times New Roman" w:cs="Times New Roman"/>
          <w:b w:val="0"/>
        </w:rPr>
        <w:t xml:space="preserve">закупки заключается на условиях, которые предусмотрены проектом договора, документацией о закупке, извещением о закупке и заявкой победителя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 </w:t>
      </w:r>
      <w:hyperlink r:id="rId27" w:tooltip="https://www.consultant.ru/document/cons_doc_LAW_494318/92d969e26a4326c5d02fa79b8f9cf4994ee5633b/" w:history="1">
        <w:r>
          <w:rPr>
            <w:rStyle w:val="1337"/>
            <w:rFonts w:ascii="Times New Roman" w:hAnsi="Times New Roman" w:cs="Times New Roman"/>
            <w:b w:val="0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установлен запрет закупки работ, услуг, соответственно выполняемых, оказываемых иностранным лицом, то не допускается заключение договора на выполнение такой работы, оказание такой услуги с подрядчиком (исполнителем), являющимся иностранным лицом.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 </w:t>
      </w:r>
      <w:hyperlink r:id="rId28" w:tooltip="https://www.consultant.ru/document/cons_doc_LAW_494318/92d969e26a4326c5d02fa79b8f9cf4994ee5633b/" w:history="1">
        <w:r>
          <w:rPr>
            <w:rStyle w:val="1337"/>
            <w:rFonts w:ascii="Times New Roman" w:hAnsi="Times New Roman" w:cs="Times New Roman"/>
            <w:b w:val="0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 установлено ограничен</w:t>
      </w:r>
      <w:r>
        <w:rPr>
          <w:rFonts w:ascii="Times New Roman" w:hAnsi="Times New Roman" w:cs="Times New Roman"/>
          <w:b w:val="0"/>
        </w:rPr>
        <w:t xml:space="preserve">ие закупки работ, услуг, соответственно выполняемых, оказываемых иностранным лицом, то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</w:t>
      </w:r>
      <w:r>
        <w:rPr>
          <w:rFonts w:ascii="Times New Roman" w:hAnsi="Times New Roman" w:cs="Times New Roman"/>
          <w:b w:val="0"/>
        </w:rPr>
        <w:t xml:space="preserve">е, признанные по результатам их рассмотрения соответствующими требованиям Стандарта,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</w:t>
      </w:r>
      <w:hyperlink w:tooltip="#_Право_зака" w:anchor="_Право_зака" w:history="1">
        <w:r>
          <w:rPr>
            <w:rStyle w:val="1337"/>
            <w:rFonts w:ascii="Times New Roman" w:hAnsi="Times New Roman" w:cs="Times New Roman"/>
            <w:b w:val="0"/>
          </w:rPr>
          <w:t xml:space="preserve">23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/>
          <w:b w:val="0"/>
        </w:rPr>
      </w:pPr>
      <w:r/>
      <w:bookmarkStart w:id="102" w:name="_6.1.5._Поб"/>
      <w:r/>
      <w:bookmarkStart w:id="103" w:name="_Победитель_закупки_(либо"/>
      <w:r/>
      <w:bookmarkEnd w:id="102"/>
      <w:r/>
      <w:bookmarkEnd w:id="103"/>
      <w:r>
        <w:rPr>
          <w:rFonts w:ascii="Times New Roman" w:hAnsi="Times New Roman" w:cs="Times New Roman"/>
          <w:b w:val="0"/>
        </w:rPr>
        <w:t xml:space="preserve">Победитель закупки (либо еди</w:t>
      </w:r>
      <w:r>
        <w:rPr>
          <w:rFonts w:ascii="Times New Roman" w:hAnsi="Times New Roman" w:cs="Times New Roman"/>
          <w:b w:val="0"/>
        </w:rPr>
        <w:t xml:space="preserve">нственный участник, признанный соответствующим требованиям документации о закупке) обязан в течение 3 (трех) рабочих дней, с даты размещения итогового протокола в ЕИС,  направить по электронной почте лицу ответственному за заключение договора и указанному </w:t>
      </w:r>
      <w:r>
        <w:rPr>
          <w:rFonts w:ascii="Times New Roman" w:hAnsi="Times New Roman" w:cs="Times New Roman"/>
          <w:b w:val="0"/>
          <w:highlight w:val="white"/>
        </w:rPr>
        <w:t xml:space="preserve">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Наименование,_место_нахождения," w:anchor="_Наименование,_место_нахождения," w:history="1">
        <w:r>
          <w:rPr>
            <w:rStyle w:val="1337"/>
            <w:rFonts w:ascii="Times New Roman" w:hAnsi="Times New Roman" w:cs="Times New Roman"/>
            <w:b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, заполненные приложения к договору, содержащие информацию о цене, а также сроках поставки товара, выполнения работ, оказания услуг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 заполненное </w:t>
      </w: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  <w:b w:val="0"/>
        </w:rPr>
        <w:t xml:space="preserve"> к закупочной документации. При этом общая итоговая стоимость не должна превышать окончательную цену заявки Победителя (либо единственного участника, признанного соответствующим треб</w:t>
      </w:r>
      <w:r>
        <w:rPr>
          <w:rFonts w:ascii="Times New Roman" w:hAnsi="Times New Roman" w:cs="Times New Roman"/>
          <w:b w:val="0"/>
        </w:rPr>
        <w:t xml:space="preserve">ованиям документации о закупке, с которым планируется заключить договор), а сроки поставки товара, выполнения работ (оказания услуг) не должны противоречить предлагаемым срокам поставки товара, выполнения работ, оказания услуг, указанным в заявке. Участник</w:t>
      </w:r>
      <w:r>
        <w:rPr>
          <w:rFonts w:ascii="Times New Roman" w:hAnsi="Times New Roman"/>
          <w:b w:val="0"/>
        </w:rPr>
        <w:t xml:space="preserve"> не в праве превышать единичные расценки, указанные в Приложении № 2 к части II «ИНФОРМАЦИОННАЯ КАРТА ЗАКУПКИ»</w:t>
      </w:r>
      <w:r>
        <w:rPr>
          <w:rStyle w:val="1337"/>
          <w:rFonts w:ascii="Times New Roman" w:hAnsi="Times New Roman"/>
          <w:b w:val="0"/>
          <w:u w:val="none"/>
        </w:rPr>
        <w:t xml:space="preserve">.</w:t>
      </w:r>
      <w:r>
        <w:rPr>
          <w:rFonts w:ascii="Times New Roman" w:hAnsi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(либо единственный участник, признанный соответствующим требованиям документации о закупке), не предоставит в течение 3 (трех) рабочих дн</w:t>
      </w:r>
      <w:r>
        <w:rPr>
          <w:rFonts w:ascii="Times New Roman" w:hAnsi="Times New Roman" w:cs="Times New Roman"/>
          <w:b w:val="0"/>
        </w:rPr>
        <w:t xml:space="preserve">ей с даты размещения в ЕИС итогового протокола заполненные приложения к договору, содержащие информацию о цене, а также сроках поставки товара/выполнения работ/оказании услуг, либо представит указанные сведения с нарушением условий, установленных в пункте </w:t>
      </w:r>
      <w:hyperlink w:tooltip="#_Победитель_закупки_(либо" w:anchor="_6.1.5._Поб" w:history="1">
        <w:r>
          <w:rPr>
            <w:rStyle w:val="1337"/>
            <w:rFonts w:ascii="Times New Roman" w:hAnsi="Times New Roman" w:cs="Times New Roman"/>
            <w:b w:val="0"/>
          </w:rPr>
          <w:t xml:space="preserve">6.1.5</w:t>
        </w:r>
      </w:hyperlink>
      <w:r>
        <w:rPr>
          <w:rFonts w:ascii="Times New Roman" w:hAnsi="Times New Roman" w:cs="Times New Roman"/>
          <w:b w:val="0"/>
        </w:rPr>
        <w:t xml:space="preserve">, указанные приложения будут </w:t>
      </w:r>
      <w:r>
        <w:rPr>
          <w:rFonts w:ascii="Times New Roman" w:hAnsi="Times New Roman" w:cs="Times New Roman"/>
          <w:b w:val="0"/>
        </w:rPr>
        <w:t xml:space="preserve">сформированы Заказчиком самостоятельно, а стоимость каждой позиции будет рассчитана путём применения единого понижающего коэффициента к единичным расценкам, </w:t>
      </w:r>
      <w:r>
        <w:rPr>
          <w:rFonts w:ascii="Times New Roman" w:hAnsi="Times New Roman"/>
          <w:b w:val="0"/>
        </w:rPr>
        <w:t xml:space="preserve">указанные в </w:t>
      </w:r>
      <w:hyperlink w:tooltip="#_Приложение_1" w:anchor="_Приложение_1" w:history="1">
        <w:r>
          <w:rPr>
            <w:rStyle w:val="1337"/>
            <w:rFonts w:ascii="Times New Roman" w:hAnsi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: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before="120"/>
        <w:tabs>
          <w:tab w:val="left" w:pos="459" w:leader="none"/>
        </w:tabs>
      </w:pPr>
      <w:r>
        <w:t xml:space="preserve">Понижающий коэффициент рассчитывается по формуле: </w:t>
      </w:r>
      <w:r/>
    </w:p>
    <w:p>
      <w:pPr>
        <w:jc w:val="center"/>
        <w:spacing w:before="120" w:after="120"/>
        <w:tabs>
          <w:tab w:val="left" w:pos="459" w:leader="none"/>
        </w:tabs>
      </w:pPr>
      <w:r>
        <w:rPr>
          <w:lang w:val="en-US"/>
        </w:rPr>
        <w:t xml:space="preserve">d</w:t>
      </w:r>
      <w:r>
        <w:t xml:space="preserve"> =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/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,</w:t>
      </w:r>
      <w:r/>
    </w:p>
    <w:p>
      <w:pPr>
        <w:pStyle w:val="1430"/>
        <w:ind w:left="0" w:firstLine="567"/>
      </w:pPr>
      <w:r>
        <w:t xml:space="preserve">где </w:t>
      </w:r>
      <w:r>
        <w:rPr>
          <w:lang w:val="en-US"/>
        </w:rPr>
        <w:t xml:space="preserve">d</w:t>
      </w:r>
      <w:r>
        <w:t xml:space="preserve"> – понижающий коэффициент;</w:t>
      </w:r>
      <w:r/>
    </w:p>
    <w:p>
      <w:pPr>
        <w:pStyle w:val="1430"/>
        <w:ind w:left="0" w:firstLine="567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– окончательная цена заявки Победителя закупки, без учета НДС</w:t>
      </w:r>
      <w:r>
        <w:rPr>
          <w:bCs/>
        </w:rPr>
        <w:t xml:space="preserve">;</w:t>
      </w:r>
      <w:r/>
    </w:p>
    <w:p>
      <w:pPr>
        <w:pStyle w:val="1430"/>
        <w:ind w:left="0" w:firstLine="567"/>
        <w:jc w:val="right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 </w:t>
      </w:r>
      <w:r>
        <w:rPr>
          <w:bCs/>
        </w:rPr>
        <w:t xml:space="preserve">– объявленная начальная (максимальная) цена договора (лота)</w:t>
      </w:r>
      <w:r>
        <w:t xml:space="preserve"> без учета НДС</w:t>
      </w:r>
      <w:r>
        <w:rPr>
          <w:bCs/>
        </w:rPr>
        <w:t xml:space="preserve">.</w:t>
      </w:r>
      <w:r/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в срок не ранее чем через десять дней и не поздне</w:t>
      </w:r>
      <w:r>
        <w:rPr>
          <w:rFonts w:ascii="Times New Roman" w:hAnsi="Times New Roman" w:cs="Times New Roman"/>
          <w:b w:val="0"/>
        </w:rPr>
        <w:t xml:space="preserve">е чем через двадцать дней с даты размещения в ЕИС итогового протокола, в том числе посредством использования программно-аппаратных средств ЭТП.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подписанный проект договора в течение 2 (двух)</w:t>
      </w:r>
      <w:r>
        <w:rPr>
          <w:rFonts w:ascii="Times New Roman" w:hAnsi="Times New Roman" w:cs="Times New Roman"/>
          <w:b w:val="0"/>
          <w:bCs w:val="0"/>
        </w:rPr>
        <w:t xml:space="preserve">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Заказчика. Участник подписывает проект договора в течение 3 (трех) рабочих дней и направляет его Заказчику.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</w:t>
      </w:r>
      <w:r>
        <w:rPr>
          <w:rFonts w:ascii="Times New Roman" w:hAnsi="Times New Roman" w:cs="Times New Roman"/>
          <w:b w:val="0"/>
          <w:bCs w:val="0"/>
        </w:rPr>
        <w:t xml:space="preserve">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</w:t>
      </w:r>
      <w:r>
        <w:rPr>
          <w:rFonts w:ascii="Times New Roman" w:hAnsi="Times New Roman" w:cs="Times New Roman"/>
          <w:b w:val="0"/>
          <w:bCs w:val="0"/>
        </w:rPr>
        <w:t xml:space="preserve">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</w:t>
      </w:r>
      <w:r>
        <w:rPr>
          <w:rFonts w:ascii="Times New Roman" w:hAnsi="Times New Roman" w:cs="Times New Roman"/>
          <w:b w:val="0"/>
          <w:bCs w:val="0"/>
        </w:rPr>
        <w:t xml:space="preserve">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</w:t>
      </w:r>
      <w:r>
        <w:rPr>
          <w:rFonts w:ascii="Times New Roman" w:hAnsi="Times New Roman" w:cs="Times New Roman"/>
          <w:b w:val="0"/>
          <w:bCs w:val="0"/>
        </w:rPr>
        <w:t xml:space="preserve">в срок не более 3 (трех) рабочих дней. Заказчик после получения проекта договора, подписанного участником, обеспечивает подписание такого договора в срок, не превышающий 20 (двадцати) дней с даты размещения в ЕИС итогового протокола по результатам закупки.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Условие о подсудности разрешения споров по договору, указанное в части </w:t>
      </w:r>
      <w:hyperlink w:tooltip="#_ФОРМА_15._Справка" w:anchor="_ФОРМА_15._Справка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является существенным условием и н</w:t>
      </w:r>
      <w:r>
        <w:rPr>
          <w:rFonts w:ascii="Times New Roman" w:hAnsi="Times New Roman" w:cs="Times New Roman"/>
          <w:b w:val="0"/>
          <w:bCs w:val="0"/>
        </w:rPr>
        <w:t xml:space="preserve">е части изменению при проведении преддоговорных переговоров (в случае их проведения). Направление протокола разногласий к договору об изменении подсудности разрешения споров по договору будет рассматриваться Заказчиком как уклонение от заключения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4" w:name="_Toc40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104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hyperlink w:tooltip="#_Размер_обеспечения_исполнения" w:anchor="_Размер_обеспечения_исполнения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21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</w:t>
      </w:r>
      <w:hyperlink w:tooltip="#_Размер_обеспечения_исполнения" w:anchor="_Размер_обеспечения_исполнения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21 части II </w:t>
        </w:r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форме независимой гарантии, а </w:t>
      </w:r>
      <w:r>
        <w:rPr>
          <w:rFonts w:ascii="Times New Roman" w:hAnsi="Times New Roman" w:cs="Times New Roman"/>
          <w:b w:val="0"/>
          <w:bCs w:val="0"/>
        </w:rPr>
        <w:t xml:space="preserve">для лиц, указанных в п.6.2.5 - в форме поручительства. Выбор способа обеспечения исполнения 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вв части </w:t>
      </w:r>
      <w:hyperlink w:tooltip="#_ФОРМА_15._Справка" w:anchor="_ФОРМА_15._Справка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Style w:val="1337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исполнения договора возвращаются участнику в сроки, указанные в части </w:t>
      </w:r>
      <w:hyperlink w:tooltip="#_ФОРМА_15._Справка" w:anchor="_ФОРМА_15._Справка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/>
      <w:hyperlink w:tooltip="#_ПРОЕКТ_ДОГОВОРА" w:anchor="_ПРОЕКТ_ДОГОВОРА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.</w:t>
        </w:r>
      </w:hyperlink>
      <w:r/>
      <w:r>
        <w:rPr>
          <w:rStyle w:val="1337"/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 результатам закупки договор заключается с организациями, в отношении которых иностранными государствами введены ограничительные меры, а также организациями, в отношении бенефициарных </w:t>
      </w:r>
      <w:r>
        <w:rPr>
          <w:rFonts w:ascii="Times New Roman" w:hAnsi="Times New Roman" w:cs="Times New Roman"/>
          <w:b w:val="0"/>
          <w:spacing w:val="-4"/>
        </w:rPr>
        <w:t xml:space="preserve">владельцев (если совокупная доля их прямого и (или) косвенного участия в этой</w:t>
      </w:r>
      <w:r>
        <w:rPr>
          <w:rFonts w:ascii="Times New Roman" w:hAnsi="Times New Roman" w:cs="Times New Roman"/>
          <w:b w:val="0"/>
        </w:rPr>
        <w:t xml:space="preserve"> организации составляет не ме</w:t>
      </w:r>
      <w:r>
        <w:rPr>
          <w:rFonts w:ascii="Times New Roman" w:hAnsi="Times New Roman" w:cs="Times New Roman"/>
          <w:b w:val="0"/>
        </w:rPr>
        <w:t xml:space="preserve">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 такими организациями – участниками закупки лиц (далее – Аффилированные лица):</w:t>
      </w:r>
      <w:r>
        <w:rPr>
          <w:rFonts w:ascii="Times New Roman" w:hAnsi="Times New Roman" w:cs="Times New Roman"/>
          <w:b w:val="0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обладающих кредитным рейтингом не ниже категории «А» п</w:t>
      </w:r>
      <w:r>
        <w:t xml:space="preserve">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представивших заказчику сведения, подтверждающих </w:t>
      </w:r>
      <w:r>
        <w:t xml:space="preserve">платежеспособность Аффилированного лица (ежегодную или квартальную бухгалтерскую (финансовую)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принявших обязательство письменно извещать заказчика в течение 3 рабочих дней со дня наступления следующих событий: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решения о реорганизации или ликвидации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судом к производству заявления о признании Аффилированного лица несостоятельным (банкротом);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представивших заказчику </w:t>
      </w:r>
      <w:r>
        <w:rPr>
          <w:spacing w:val="-4"/>
        </w:rPr>
        <w:t xml:space="preserve">письма (оригинал), подтверждающего, что в отношении контрагента участника закупки/бенефициарного владельца контраг</w:t>
      </w:r>
      <w:r>
        <w:rPr>
          <w:spacing w:val="-4"/>
        </w:rPr>
        <w:t xml:space="preserve">ента иностранными государствами введены ограничительные меры, а также содержащее сопроводительные документы, подтверждающие достоверность представленных в письме сведений со ссылкой на источники информации (оригинал/копия, заверенная Аффилированным лицом);</w:t>
      </w:r>
      <w:r>
        <w:rPr>
          <w:spacing w:val="-4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 представление документов, подтверждающих аффилированность лица с контрагентом, в отношении которого предоставляется поручительство (оригинал/ копия, заверенная Аффилированным лицом);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представление иных дополнительных документов либо сведений по запросу Общества при наступлении одного из событий, указанных в пункте 6.2.5 в).</w:t>
      </w:r>
      <w:r>
        <w:rPr>
          <w:spacing w:val="-4"/>
        </w:rPr>
      </w:r>
    </w:p>
    <w:p>
      <w:pPr>
        <w:ind w:firstLine="567"/>
        <w:spacing w:after="0"/>
        <w:tabs>
          <w:tab w:val="left" w:pos="0" w:leader="none"/>
          <w:tab w:val="left" w:pos="845" w:leader="none"/>
        </w:tabs>
      </w:pPr>
      <w:r>
        <w:rPr>
          <w:spacing w:val="-4"/>
        </w:rPr>
        <w:t xml:space="preserve">При наступлении одного из </w:t>
      </w:r>
      <w:r>
        <w:t xml:space="preserve">событий, указанных в пункте 6.2.5 в), либо в случае несоответствия Аффилированного лица критериям, указанным в пункте 6.2.5, </w:t>
      </w:r>
      <w:r>
        <w:rPr>
          <w:spacing w:val="-4"/>
        </w:rPr>
        <w:t xml:space="preserve">а также в случае отказа Аффилированного лица от представления документов, предусмотренных п. </w:t>
      </w:r>
      <w:r>
        <w:t xml:space="preserve">6.2.5</w:t>
      </w:r>
      <w:r>
        <w:rPr>
          <w:spacing w:val="-4"/>
        </w:rPr>
        <w:t xml:space="preserve">, Заказчик вправе отказаться от приня</w:t>
      </w:r>
      <w:r>
        <w:rPr>
          <w:spacing w:val="-4"/>
        </w:rPr>
        <w:t xml:space="preserve">тия поручительства Аффилированного лица/требовать замены ранее предоставленного поручительства Аффилированного лица на независимую гарантию, на поручительство иного Аффилированного лица, на иное обеспечение обязательств, предусмотренное условиями договора.</w:t>
      </w:r>
      <w:r/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spacing w:val="-4"/>
        </w:rPr>
      </w:pPr>
      <w:r>
        <w:rPr>
          <w:rFonts w:ascii="Times New Roman" w:hAnsi="Times New Roman" w:cs="Times New Roman"/>
          <w:b w:val="0"/>
          <w:spacing w:val="-4"/>
        </w:rPr>
        <w:t xml:space="preserve">В случае предоставления обеспечения исполнения договора в форме поручительства, договор дополняется соответствующим разделом в ходе преддоговорных переговоров. </w:t>
      </w:r>
      <w:r>
        <w:rPr>
          <w:rFonts w:ascii="Times New Roman" w:hAnsi="Times New Roman" w:cs="Times New Roman"/>
          <w:b w:val="0"/>
          <w:spacing w:val="-4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mallCaps/>
        </w:rPr>
      </w:pPr>
      <w:r/>
      <w:bookmarkStart w:id="105" w:name="_Требования_к_условиям"/>
      <w:r/>
      <w:bookmarkStart w:id="106" w:name="_Toc41"/>
      <w:r/>
      <w:bookmarkEnd w:id="105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106"/>
      <w:r/>
      <w:r>
        <w:rPr>
          <w:bCs w:val="0"/>
          <w:smallCaps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выборе участником закупки способа обеспечения договора в форме независимой гарантии участник должен предоставить независимую гарантию, составленную с учетом требований статей </w:t>
      </w:r>
      <w:hyperlink r:id="rId29" w:tooltip="https://www.consultant.ru/document/cons_doc_LAW_5142/03edc46b2ef855fddfaaa3d77dac1d071ef3dba1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368</w:t>
        </w:r>
      </w:hyperlink>
      <w:r>
        <w:rPr>
          <w:rFonts w:ascii="Times New Roman" w:hAnsi="Times New Roman" w:cs="Times New Roman"/>
          <w:b w:val="0"/>
          <w:bCs w:val="0"/>
        </w:rPr>
        <w:t xml:space="preserve">-</w:t>
      </w:r>
      <w:hyperlink r:id="rId30" w:tooltip="https://www.consultant.ru/document/cons_doc_LAW_5142/e8b1dba1c6def4f632470a9857908caf60fec137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379</w:t>
        </w:r>
      </w:hyperlink>
      <w:r>
        <w:rPr>
          <w:rFonts w:ascii="Times New Roman" w:hAnsi="Times New Roman" w:cs="Times New Roman"/>
          <w:b w:val="0"/>
          <w:bCs w:val="0"/>
        </w:rPr>
        <w:t xml:space="preserve"> Гражданского кодекса Российской Федерации и следующих условий:</w:t>
      </w:r>
      <w:r>
        <w:rPr>
          <w:rFonts w:ascii="Times New Roman" w:hAnsi="Times New Roman" w:cs="Times New Roman"/>
          <w:b w:val="0"/>
          <w:bCs w:val="0"/>
        </w:rPr>
      </w:r>
    </w:p>
    <w:p>
      <w:pPr>
        <w:numPr>
          <w:ilvl w:val="0"/>
          <w:numId w:val="26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гарантом, предусмотренным </w:t>
      </w:r>
      <w:hyperlink r:id="rId31" w:tooltip="https://www.consultant.ru/document/cons_doc_LAW_144624/af90cad46f4484d18fa490ef1c9d7a3b2fd3be3b/#dst2441" w:anchor="dst2441" w:history="1">
        <w:r>
          <w:rPr>
            <w:rStyle w:val="1337"/>
            <w:bCs/>
          </w:rPr>
          <w:t xml:space="preserve">частью 1 статьи 45 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должна быть безотзывной;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срок действия независимой гарантии долже</w:t>
      </w:r>
      <w:r>
        <w:t xml:space="preserve">н начинаться не позднее даты заключения договора (в случае заключения дополнительного соглашения,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</w:t>
      </w:r>
      <w:r>
        <w:rPr>
          <w:bCs/>
        </w:rPr>
        <w:t xml:space="preserve">календарных </w:t>
      </w:r>
      <w:r>
        <w:t xml:space="preserve">дней после планируемого срока исполнения контрагентом обязательств по договору;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в независимой гарантии должно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pStyle w:val="1430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pStyle w:val="1430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pStyle w:val="1430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476"/>
        </w:rPr>
        <w:t xml:space="preserve">кредитная организация обладает действующей лицензией на банковскую деятельность, выданной Банком России</w:t>
      </w:r>
      <w:r>
        <w:rPr>
          <w:rStyle w:val="1476"/>
          <w:vertAlign w:val="superscript"/>
        </w:rPr>
        <w:footnoteReference w:customMarkFollows="1" w:id="10"/>
        <w:t xml:space="preserve">1</w:t>
      </w:r>
      <w:r>
        <w:rPr>
          <w:rStyle w:val="1476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476"/>
          <w:vertAlign w:val="superscript"/>
        </w:rPr>
        <w:footnoteReference w:customMarkFollows="1" w:id="11"/>
        <w:t xml:space="preserve">2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476"/>
        </w:rPr>
        <w:t xml:space="preserve">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</w:t>
      </w:r>
      <w:r>
        <w:rPr>
          <w:rStyle w:val="1476"/>
        </w:rPr>
        <w:t xml:space="preserve">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входит в перечень кредитных организаций, соответствующих требованиям, установленным</w:t>
      </w:r>
      <w:r>
        <w:t xml:space="preserve">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vertAlign w:val="superscript"/>
        </w:rPr>
        <w:footnoteReference w:customMarkFollows="1" w:id="12"/>
        <w:t xml:space="preserve">3.</w:t>
      </w:r>
      <w:r/>
    </w:p>
    <w:p>
      <w:pPr>
        <w:numPr>
          <w:ilvl w:val="0"/>
          <w:numId w:val="27"/>
        </w:numPr>
        <w:ind w:left="0" w:firstLine="567"/>
        <w:keepNext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13"/>
        <w:t xml:space="preserve">4</w:t>
      </w:r>
      <w:r/>
    </w:p>
    <w:tbl>
      <w:tblPr>
        <w:tblW w:w="9354" w:type="dxa"/>
        <w:tblInd w:w="8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2268"/>
        <w:gridCol w:w="1843"/>
        <w:gridCol w:w="1701"/>
      </w:tblGrid>
      <w:tr>
        <w:tblPrEx/>
        <w:trPr>
          <w:trHeight w:val="8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id="14"/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на возврат авансовых платежей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id="15"/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6.3.2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</w:t>
      </w:r>
      <w:r>
        <w:rPr>
          <w:rFonts w:eastAsia="Arial Unicode MS" w:cs="Arial Unicode MS"/>
          <w:color w:val="000000"/>
        </w:rPr>
        <w:t xml:space="preserve">долгосрочный кредитный рейтинг по национальной шкале, присвоенный аккредитованными Банком России 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6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7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60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  <w:gridCol w:w="2409"/>
        <w:gridCol w:w="2250"/>
        <w:gridCol w:w="2339"/>
      </w:tblGrid>
      <w:tr>
        <w:tblPrEx/>
        <w:trPr>
          <w:jc w:val="center"/>
          <w:trHeight w:val="300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отсутствие у банка-гаранта в течение предшествующих 24 месяцев прецедентов просрочки исполнения платежных обязательств перед Заказчиком по независимым гарантиям, выданным принципалу, предоставляющему независимую гарантию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</w:p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Лимит на общую сумму единовременно действующих гарантий, принятых Обществом для каждого из банков, удовлетворяющих условиям п.п. 6.3.2 а) – е) закупочной документации, устанавливается в размере 10% от собственного капитала банка.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рейтинга (ниже минимально допустимого в соответствии с п. 6.3.2 ж) уровня) принятие новых гарантий банка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При наличии информац</w:t>
      </w:r>
      <w:r>
        <w:rPr>
          <w:bCs/>
        </w:rPr>
        <w:t xml:space="preserve">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независимых гарантий данной кредитной организации может быть приостановлен.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Вместе с гарантией по</w:t>
      </w:r>
      <w:r>
        <w:rPr>
          <w:bCs/>
        </w:rPr>
        <w:t xml:space="preserve">бедитель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(оригинал/нотариально заверенная копия/копия, заверенная гарантом) (в случае</w:t>
      </w:r>
      <w:r>
        <w:rPr>
          <w:bCs/>
        </w:rPr>
        <w:t xml:space="preserve">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гаранта о назначении (избрании) единоличного исполнительного органа</w:t>
      </w:r>
      <w:r>
        <w:rPr>
          <w:bCs/>
        </w:rPr>
        <w:t xml:space="preserve">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оригинала независимой гарантии поставщику (подрядчику, исполнителю) осуществляется по инициативе поставщика (подрядчиком, исполнитель) в следующих случаях:</w:t>
      </w:r>
      <w:r>
        <w:rPr>
          <w:bCs/>
        </w:rPr>
      </w:r>
    </w:p>
    <w:p>
      <w:pPr>
        <w:numPr>
          <w:ilvl w:val="0"/>
          <w:numId w:val="20"/>
        </w:numPr>
        <w:ind w:left="0" w:firstLine="567"/>
        <w:spacing w:after="0"/>
      </w:pPr>
      <w:r>
        <w:t xml:space="preserve">если поставщиком (подрядчиком, исполнителем) исполнены обязательства, исполнение которых покрывала независимая гарантия и Заказчиком исполнены обязательства по оплате;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при замене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по истечении срока действия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в иных случаях, предусмотренных договором.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поставщику (подрядчику, исполнителю) независимых гарантий, по которым Заказчиком предъявлены требования об оплате, не производится.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Взыскание (предъявление требований) по независимой гарантии производится при наступлении обстоятельств, предусмотренных независимой гарантией.</w:t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/>
          <w:bCs/>
        </w:rPr>
        <w:outlineLvl w:val="2"/>
      </w:pPr>
      <w:r>
        <w:t xml:space="preserve">Срок предоставления независимой гарантии, форма независимой гарантии, Акт приема-передачи независимой(ых) гарантии(й)/ изменений к независимой гарантии, иные требования, связанные с независимой гарантией, установлены в</w:t>
      </w:r>
      <w:r>
        <w:rPr>
          <w:b/>
          <w:bCs/>
        </w:rPr>
        <w:t xml:space="preserve"> </w:t>
      </w:r>
      <w:r>
        <w:rPr>
          <w:bCs/>
        </w:rPr>
        <w:t xml:space="preserve">части </w:t>
      </w:r>
      <w:hyperlink w:tooltip="#_ФОРМА_15._Справка" w:anchor="_IV._ПРОЕКТ" w:history="1">
        <w:r>
          <w:rPr>
            <w:rStyle w:val="1337"/>
            <w:bCs/>
          </w:rPr>
          <w:t xml:space="preserve">IV «ПРОЕКТ ДОГОВОРА»</w:t>
        </w:r>
      </w:hyperlink>
      <w:r>
        <w:t xml:space="preserve"> и части </w:t>
      </w:r>
      <w:hyperlink w:tooltip="#_Типовые_формы_независимых" w:anchor="_VII._ТИПОВ" w:history="1">
        <w:r>
          <w:rPr>
            <w:rStyle w:val="1337"/>
          </w:rPr>
          <w:t xml:space="preserve">VII «ТИПОВЫЕ ФОРМЫ НЕЗАВИСИМЫХ ГАРАНТИЙ»</w:t>
        </w:r>
      </w:hyperlink>
      <w:r>
        <w:t xml:space="preserve">.</w:t>
      </w:r>
      <w:r>
        <w:rPr>
          <w:b/>
          <w:bCs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z w:val="24"/>
          <w:szCs w:val="24"/>
        </w:rPr>
      </w:pPr>
      <w:r/>
      <w:bookmarkStart w:id="107" w:name="_Toc42"/>
      <w:r>
        <w:rPr>
          <w:bCs w:val="0"/>
          <w:sz w:val="24"/>
          <w:szCs w:val="24"/>
        </w:rPr>
        <w:t xml:space="preserve">Отказ от заключения договора</w:t>
      </w:r>
      <w:bookmarkEnd w:id="107"/>
      <w:r/>
      <w:r>
        <w:rPr>
          <w:bCs w:val="0"/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</w:t>
      </w:r>
      <w:r>
        <w:rPr>
          <w:rFonts w:ascii="Times New Roman" w:hAnsi="Times New Roman" w:cs="Times New Roman"/>
          <w:b w:val="0"/>
        </w:rP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08" w:name="_Ref302129490"/>
      <w:r>
        <w:rPr>
          <w:rFonts w:ascii="Times New Roman" w:hAnsi="Times New Roman" w:cs="Times New Roman"/>
          <w:b w:val="0"/>
        </w:rP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108"/>
      <w:r/>
      <w:r>
        <w:rPr>
          <w:rFonts w:ascii="Times New Roman" w:hAnsi="Times New Roman" w:cs="Times New Roman"/>
          <w:b w:val="0"/>
        </w:rPr>
      </w:r>
    </w:p>
    <w:p>
      <w:pPr>
        <w:pStyle w:val="1453"/>
        <w:numPr>
          <w:ilvl w:val="0"/>
          <w:numId w:val="9"/>
        </w:numPr>
        <w:ind w:left="0" w:firstLine="567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</w:p>
    <w:p>
      <w:pPr>
        <w:pStyle w:val="1446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smallCaps/>
          <w:color w:val="auto"/>
        </w:rPr>
      </w:r>
    </w:p>
    <w:p>
      <w:pPr>
        <w:pStyle w:val="1446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документа, подтверждающего решение об одобрении заключения крупной сделки либо сделки с заинтересованностью, в случае если победитель закупки</w:t>
      </w:r>
      <w:r>
        <w:t xml:space="preserve"> (единственный участник соответствующий требованиям документации о закупке) не задекларировал в своей заявке (данная декларация содержится в письме о подаче оферты) отсутствие необходимости одобрения сделки как крупной или как сделки с заинтересованностью.</w:t>
      </w:r>
      <w:r>
        <w:rPr>
          <w:smallCaps/>
          <w:color w:val="auto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будет признан уклонившимся от заключения договора, договор бу</w:t>
      </w:r>
      <w:r>
        <w:rPr>
          <w:rFonts w:ascii="Times New Roman" w:hAnsi="Times New Roman" w:cs="Times New Roman"/>
          <w:b w:val="0"/>
        </w:rPr>
        <w:t xml:space="preserve">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r>
        <w:rPr>
          <w:rFonts w:ascii="Times New Roman" w:hAnsi="Times New Roman" w:cs="Times New Roman"/>
          <w:b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9" w:name="_Toc43"/>
      <w:r>
        <w:rPr>
          <w:sz w:val="24"/>
          <w:szCs w:val="24"/>
        </w:rPr>
        <w:t xml:space="preserve">Изменение и расторжение договора</w:t>
      </w:r>
      <w:bookmarkEnd w:id="109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предусмотренном действующим законодательством и </w:t>
      </w:r>
      <w:hyperlink r:id="rId32" w:tooltip="https://zakupki.gov.ru/epz/orderclause/card/common-info.html?orderClauseInfoId=967865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0" w:name="_Ref119429963"/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договоров на поставку товаров (выполнение работ, оказание услуг) заключенных с субъектами МСП, поставщик (исполнитель, подрядчик), при условии </w:t>
      </w:r>
      <w:r>
        <w:rPr>
          <w:rFonts w:ascii="Times New Roman" w:hAnsi="Times New Roman" w:cs="Times New Roman"/>
          <w:b w:val="0"/>
          <w:bCs w:val="0"/>
        </w:rPr>
        <w:t xml:space="preserve">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3" w:tooltip="https://www.consultant.ru/document/cons_doc_LAW_494318/92d969e26a4326c5d02fa79b8f9cf4994ee5633b/" w:history="1">
        <w:r>
          <w:rPr>
            <w:rStyle w:val="1337"/>
            <w:rFonts w:ascii="Times New Roman" w:hAnsi="Times New Roman" w:cs="Times New Roman"/>
            <w:b w:val="0"/>
          </w:rPr>
          <w:t xml:space="preserve">постановлением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 запрет закупки работ, услуг, соответственно выполняемых, оказываемых иностранным лицом, то не допускается перемена подрядчика (</w:t>
      </w:r>
      <w:r>
        <w:rPr>
          <w:rFonts w:ascii="Times New Roman" w:hAnsi="Times New Roman" w:cs="Times New Roman"/>
          <w:b w:val="0"/>
          <w:bCs w:val="0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4" w:tooltip="https://www.consultant.ru/document/cons_doc_LAW_494318/92d969e26a4326c5d02fa79b8f9cf4994ee5633b/" w:history="1">
        <w:r>
          <w:rPr>
            <w:rStyle w:val="1337"/>
            <w:rFonts w:ascii="Times New Roman" w:hAnsi="Times New Roman" w:cs="Times New Roman"/>
            <w:b w:val="0"/>
          </w:rPr>
          <w:t xml:space="preserve">постановлением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337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установлено ограничение закупки работ, услуг, соответственно выполняемых, оказываемых иностранным лицом, то не допускается перемена подрядчика (исполнителя) (в случае, если эта перем</w:t>
      </w:r>
      <w:r>
        <w:rPr>
          <w:rFonts w:ascii="Times New Roman" w:hAnsi="Times New Roman" w:cs="Times New Roman"/>
          <w:b w:val="0"/>
          <w:bCs w:val="0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bookmarkEnd w:id="110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8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11" w:name="_Toc44"/>
      <w:r>
        <w:rPr>
          <w:sz w:val="24"/>
          <w:szCs w:val="24"/>
        </w:rPr>
        <w:t xml:space="preserve">Закупка продукции с разбиением заказа на лоты</w:t>
      </w:r>
      <w:bookmarkEnd w:id="111"/>
      <w:r/>
      <w:r>
        <w:rPr>
          <w:sz w:val="24"/>
          <w:szCs w:val="24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может подать Заявку на любой лот (закупку), любые несколько лотов или все лоты по собственному выбору. Разбиение на лоты установлено пункте </w:t>
      </w:r>
      <w:hyperlink w:tooltip="#_Предмет_до" w:anchor="_Предмет_до" w:history="1">
        <w:r>
          <w:rPr>
            <w:rStyle w:val="1337"/>
            <w:rFonts w:ascii="Times New Roman" w:hAnsi="Times New Roman" w:cs="Times New Roman"/>
            <w:b w:val="0"/>
          </w:rPr>
          <w:t xml:space="preserve">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 и части </w:t>
      </w:r>
      <w:hyperlink w:tooltip="#_V._ТЕХНИЧЕ" w:anchor="_V._ТЕХНИЧЕ" w:history="1">
        <w:r>
          <w:rPr>
            <w:rStyle w:val="1337"/>
            <w:rFonts w:ascii="Times New Roman" w:hAnsi="Times New Roman" w:cs="Times New Roman"/>
            <w:b w:val="0"/>
          </w:rPr>
          <w:t xml:space="preserve">IV 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подачи Заявки на несколько лотов, Участник должен отдельно по каждому лоту включить в состав заявки документы и сведения, указанные в пункте </w:t>
      </w:r>
      <w:hyperlink w:tooltip="#_Сведения_и" w:anchor="_Сведения_и" w:history="1">
        <w:r>
          <w:rPr>
            <w:rStyle w:val="1337"/>
            <w:rFonts w:ascii="Times New Roman" w:hAnsi="Times New Roman" w:cs="Times New Roman"/>
            <w:b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1119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</w:rPr>
        <w:t xml:space="preserve">Рассмотрение общих частей </w:t>
      </w:r>
      <w:r>
        <w:rPr>
          <w:rFonts w:ascii="Times New Roman" w:hAnsi="Times New Roman" w:cs="Times New Roman"/>
          <w:b w:val="0"/>
        </w:rPr>
        <w:t xml:space="preserve">заявок и ценовых предложений, определение Победителя закупки и подписание Договора будет осуществляться раздельно и независимо по каждому из лотов. По каждому из лотов будет определен Победитель закупки с каждым из которых будет заключен отдельный Договор.</w:t>
      </w:r>
      <w:r>
        <w:br w:type="page" w:clear="all"/>
      </w:r>
      <w:r/>
    </w:p>
    <w:p>
      <w:pPr>
        <w:pStyle w:val="1117"/>
        <w:numPr>
          <w:ilvl w:val="0"/>
          <w:numId w:val="4"/>
        </w:numPr>
        <w:ind w:left="0" w:firstLine="567"/>
        <w:spacing w:before="0" w:after="0"/>
        <w:rPr>
          <w:rStyle w:val="12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12" w:name="_II._ИНФОРМ"/>
      <w:r/>
      <w:bookmarkStart w:id="113" w:name="_РАЗДЕЛ_I_3_ИНФОРМАЦИОННАЯ_КАРТА_КОН"/>
      <w:r/>
      <w:bookmarkStart w:id="114" w:name="_ИНФОРМАЦИОННАЯ_КАРТА_ЗАКУПКИ"/>
      <w:r/>
      <w:bookmarkStart w:id="115" w:name="_Ref119427269"/>
      <w:r/>
      <w:bookmarkStart w:id="116" w:name="_Toc45"/>
      <w:r/>
      <w:bookmarkEnd w:id="112"/>
      <w:r/>
      <w:bookmarkEnd w:id="113"/>
      <w:r/>
      <w:bookmarkEnd w:id="114"/>
      <w:r>
        <w:rPr>
          <w:rStyle w:val="1288"/>
          <w:rFonts w:ascii="Times New Roman" w:hAnsi="Times New Roman" w:cs="Times New Roman"/>
          <w:color w:val="auto"/>
          <w:sz w:val="28"/>
          <w:szCs w:val="28"/>
        </w:rPr>
        <w:t xml:space="preserve">ИНФОРМАЦИОННАЯ КАРТА </w:t>
      </w:r>
      <w:bookmarkEnd w:id="115"/>
      <w:r>
        <w:rPr>
          <w:rStyle w:val="1288"/>
          <w:rFonts w:ascii="Times New Roman" w:hAnsi="Times New Roman" w:cs="Times New Roman"/>
          <w:color w:val="auto"/>
          <w:sz w:val="28"/>
          <w:szCs w:val="28"/>
        </w:rPr>
        <w:t xml:space="preserve">ЗАКУПКИ</w:t>
      </w:r>
      <w:bookmarkEnd w:id="116"/>
      <w:r/>
      <w:r>
        <w:rPr>
          <w:rStyle w:val="12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данной конкретной закупки, которая уточняет, разъясняет и дополняет положения части </w:t>
      </w:r>
      <w:hyperlink w:tooltip="#_ОБЩИЕ_ПОЛОЖЕНИЯ" w:anchor="_ОБЩИЕ_ПОЛОЖЕНИЯ" w:history="1">
        <w:r>
          <w:rPr>
            <w:rStyle w:val="1337"/>
          </w:rPr>
          <w:t xml:space="preserve">«ОБЩИЕ УСЛОВИЯ ПРОВЕДЕНИЯ ЗАКУПКИ»</w:t>
        </w:r>
      </w:hyperlink>
      <w:r>
        <w:t xml:space="preserve">. </w:t>
      </w:r>
      <w:r/>
    </w:p>
    <w:p>
      <w:pPr>
        <w:ind w:firstLine="567"/>
        <w:tabs>
          <w:tab w:val="left" w:pos="567" w:leader="none"/>
        </w:tabs>
      </w:pPr>
      <w:r>
        <w:t xml:space="preserve">При возникновении противоречия между положениями части </w:t>
      </w:r>
      <w:hyperlink w:tooltip="#_ОБЩИЕ_УСЛОВИЯ_ПРОВЕДЕНИЯ" w:anchor="_I._ОБЩИЕ_У" w:history="1">
        <w:r>
          <w:rPr>
            <w:rStyle w:val="1337"/>
          </w:rPr>
          <w:t xml:space="preserve">I «ОБЩИЕ УСЛОВИЯ ПРОВЕДЕНИЯ ЗАКУПКИ»</w:t>
        </w:r>
      </w:hyperlink>
      <w:r>
        <w:t xml:space="preserve"> и части </w:t>
      </w:r>
      <w:hyperlink w:tooltip="#_ИНФОРМАЦИОННАЯ_КАРТА_ЗАКУПКИ" w:anchor="_II._ИНФОРМ" w:history="1">
        <w:r>
          <w:rPr>
            <w:rStyle w:val="1337"/>
          </w:rPr>
          <w:t xml:space="preserve">II «ИНФОРМАЦИОННАЯ КАРТА ЗАКУПКИ»</w:t>
        </w:r>
      </w:hyperlink>
      <w:r>
        <w:t xml:space="preserve">, применяются положения Части II.</w:t>
      </w:r>
      <w:r/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135"/>
      </w:tblGrid>
      <w:tr>
        <w:tblPrEx/>
        <w:trPr/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vAlign w:val="center"/>
            <w:textDirection w:val="lrTb"/>
            <w:noWrap w:val="false"/>
          </w:tcPr>
          <w:p>
            <w:pPr>
              <w:ind w:hanging="13"/>
              <w:jc w:val="center"/>
              <w:spacing w:after="0"/>
              <w:tabs>
                <w:tab w:val="num" w:pos="630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Информация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ind w:hanging="13"/>
              <w:spacing w:line="256" w:lineRule="auto"/>
              <w:tabs>
                <w:tab w:val="num" w:pos="205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Способ закупки, номер позиции Плана закупки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 w:line="256" w:lineRule="auto"/>
              <w:rPr>
                <w:lang w:eastAsia="en-US"/>
              </w:rPr>
            </w:pPr>
            <w:r/>
            <w:bookmarkStart w:id="117" w:name="Par50"/>
            <w:r>
              <w:rPr>
                <w:lang w:eastAsia="en-US"/>
              </w:rPr>
              <w:t xml:space="preserve">Конкурс в электронной форме.</w:t>
            </w:r>
            <w:bookmarkEnd w:id="117"/>
            <w:r/>
            <w:r>
              <w:rPr>
                <w:lang w:eastAsia="en-US"/>
              </w:rPr>
            </w:r>
          </w:p>
          <w:p>
            <w:pPr>
              <w:spacing w:after="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Номер позиции Плана закупки: 348</w:t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8" w:name="_Наименование,_место_нахождения,"/>
            <w:r/>
            <w:bookmarkEnd w:id="11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Наименование Заказчика: </w:t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АО «Россети Янтарь»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Адрес местонахождения Заказчика: </w:t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236022, г. Калининград, ул. Театральная, д. 34, кабинет 214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Почтовый адрес Заказчика:</w:t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236035, Абонентский ящик № 5065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Контактное лицо:</w:t>
            </w:r>
            <w:r>
              <w:rPr>
                <w:b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 </w:t>
            </w:r>
            <w:r>
              <w:rPr>
                <w:highlight w:val="white"/>
              </w:rPr>
              <w:t xml:space="preserve">Чеголя Алина Валерьевна</w:t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 </w:t>
            </w:r>
            <w:r>
              <w:rPr>
                <w:highlight w:val="white"/>
                <w:lang w:val="en-US"/>
              </w:rPr>
              <w:t xml:space="preserve">8 (4012) 576-234</w:t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 </w:t>
            </w:r>
            <w:hyperlink r:id="rId35" w:tooltip="http://Chegolya-AV@Rosseti-Yantar.ru" w:history="1">
              <w:r>
                <w:rPr>
                  <w:color w:val="0000ff"/>
                  <w:highlight w:val="white"/>
                  <w:u w:val="single"/>
                  <w:lang w:val="en-US"/>
                </w:rPr>
                <w:t xml:space="preserve">Chegolya-AV@Rosseti-Yantar.ru</w:t>
              </w:r>
            </w:hyperlink>
            <w:r>
              <w:rPr>
                <w:b/>
                <w:highlight w:val="white"/>
                <w:lang w:val="en-US"/>
              </w:rPr>
              <w:t xml:space="preserve"> </w:t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Ответственный за заключение договора: </w:t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</w:t>
            </w:r>
            <w:r>
              <w:rPr>
                <w:b/>
              </w:rPr>
              <w:t xml:space="preserve"> </w:t>
            </w:r>
            <w:r>
              <w:t xml:space="preserve">Арефьева Марина Александровна</w:t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 xml:space="preserve">8 (4012) 570-702</w:t>
            </w:r>
            <w:r>
              <w:rPr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</w:t>
            </w:r>
            <w:r>
              <w:rPr>
                <w:lang w:val="en-US"/>
              </w:rPr>
              <w:t xml:space="preserve"> </w:t>
            </w:r>
            <w:hyperlink r:id="rId36" w:tooltip="http://Arefeva-MA@Rosseti-Yantar.Ru" w:history="1">
              <w:r>
                <w:rPr>
                  <w:rStyle w:val="1337"/>
                  <w:lang w:val="en-US"/>
                </w:rPr>
                <w:t xml:space="preserve">Arefeva-MA@Rosseti-Yantar.Ru</w:t>
              </w:r>
            </w:hyperlink>
            <w:r/>
            <w:r>
              <w:rPr>
                <w:b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9" w:name="_Предмет_до"/>
            <w:r/>
            <w:bookmarkStart w:id="120" w:name="_Предмет_договора_с"/>
            <w:r/>
            <w:bookmarkEnd w:id="119"/>
            <w:r/>
            <w:bookmarkEnd w:id="12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b/>
              </w:rPr>
              <w:t xml:space="preserve">Предмет 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highlight w:val="white"/>
                <w:lang w:eastAsia="en-US"/>
              </w:rPr>
              <w:t xml:space="preserve">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1.1.16р).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Количество поставляемого товара/объем выполняемой работы/объем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1337"/>
                </w:rPr>
                <w:t xml:space="preserve">V «ТЕХНИЧЕСКАЯ ЧАСТЬ»</w:t>
              </w:r>
            </w:hyperlink>
            <w:r>
              <w:t xml:space="preserve"> документации о закупке. Все указания в настоящей документации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1" w:name="_Место_поставки_товара/"/>
            <w:r/>
            <w:bookmarkEnd w:id="12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Место поставки товара/ выполнения работы/ оказания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337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337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2" w:name="_Сроки_поставки_товара/"/>
            <w:r/>
            <w:bookmarkEnd w:id="12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Сроки поставки товара/ выполнения работ/оказания услуг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337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337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3" w:name="_Форма,_сроки_и"/>
            <w:r/>
            <w:bookmarkEnd w:id="123"/>
            <w:r>
              <w:rPr>
                <w:rFonts w:ascii="Times New Roman" w:hAnsi="Times New Roman" w:cs="Times New Roman"/>
                <w:b w:val="0"/>
                <w:bCs w:val="0"/>
              </w:rP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1337"/>
                </w:rPr>
                <w:t xml:space="preserve">IV «ПРОЕКТ ДОГОВОРА»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4" w:name="_Сведения_о"/>
            <w:r/>
            <w:bookmarkStart w:id="125" w:name="_Сведения_о_начальной"/>
            <w:r/>
            <w:bookmarkEnd w:id="124"/>
            <w:r/>
            <w:bookmarkEnd w:id="125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начальной (максимальной) цене договора (цене лота), либо формула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1337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contextualSpacing/>
              <w:spacing w:before="120"/>
              <w:tabs>
                <w:tab w:val="left" w:pos="2977" w:leader="none"/>
                <w:tab w:val="left" w:pos="3544" w:leader="none"/>
              </w:tabs>
              <w:rPr>
                <w:lang w:eastAsia="ar-SA"/>
              </w:rPr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50 000 000 (Пятьдесят миллионов</w:t>
            </w:r>
            <w:r>
              <w:rPr>
                <w:bCs/>
                <w:lang w:eastAsia="ar-SA"/>
              </w:rPr>
              <w:t xml:space="preserve">) рублей 00 копеек (без учета НДС)</w:t>
            </w:r>
            <w:r>
              <w:rPr>
                <w:lang w:eastAsia="ar-SA"/>
              </w:rPr>
              <w:t xml:space="preserve">,</w:t>
            </w:r>
            <w:r>
              <w:rPr>
                <w:lang w:eastAsia="ar-SA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кроме того, НДС размере 22% – 11 000 000 (Одиннадцать миллионов) рублей 00 копеек.</w:t>
            </w:r>
            <w:r>
              <w:rPr>
                <w:lang w:eastAsia="ar-SA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>
              <w:rPr>
                <w:lang w:eastAsia="zh-CN"/>
              </w:rPr>
              <w:t xml:space="preserve">Начальная (максимальная) цена договора (цена лота) с учетом НДС</w:t>
            </w:r>
            <w:r>
              <w:rPr>
                <w:bCs/>
                <w:lang w:eastAsia="ar-SA"/>
              </w:rPr>
              <w:t xml:space="preserve"> составляет 61 000 000 (Шестьдесят один миллион) рублей 00 копеек</w:t>
            </w:r>
            <w:r>
              <w:t xml:space="preserve">.</w:t>
            </w:r>
            <w:r/>
          </w:p>
          <w:p>
            <w:pPr>
              <w:spacing w:before="60"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 с применением </w:t>
            </w:r>
            <w:r>
              <w:rPr>
                <w:b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shd w:val="clear" w:color="auto" w:fill="ffffff" w:themeFill="background1"/>
              </w:rPr>
              <w:t xml:space="preserve"> к стоимости. </w:t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</w:t>
            </w:r>
            <w:r>
              <w:rPr>
                <w:b/>
                <w:color w:val="ff0000"/>
                <w:u w:val="single"/>
              </w:rPr>
              <w:t xml:space="preserve">едложение о цене договора должно соответствовать начальной (максимальной) цене рамочного договора. Заявки оцениваются исходя из коэффициента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</w:p>
          <w:p>
            <w:pPr>
              <w:spacing w:after="0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видом и объемом работ, но не более цены Заявки, </w:t>
            </w:r>
            <w:r>
              <w:rPr>
                <w:shd w:val="clear" w:color="auto" w:fill="ffffff" w:themeFill="background1"/>
              </w:rPr>
              <w:t xml:space="preserve">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Заявки включает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hd w:val="clear" w:color="auto" w:fill="ffffff" w:themeFill="background1"/>
              </w:rPr>
              <w:t xml:space="preserve">Начальная (максимальная) цена рамочного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  <w:shd w:val="clear" w:color="auto" w:fill="ffffff" w:themeFill="background1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Срок, место и порядок предоста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119"/>
              <w:ind w:left="0"/>
              <w:keepNext w:val="0"/>
              <w:spacing w:before="0" w:after="0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Единой информационной системы в сфере закупок (далее ЕИС) (</w:t>
            </w:r>
            <w:hyperlink r:id="rId37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1337"/>
                  <w:rFonts w:ascii="Times New Roman" w:hAnsi="Times New Roman" w:cs="Times New Roman"/>
                  <w:b w:val="0"/>
                  <w:bCs w:val="0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. Срок начала 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6" w:name="_Порядок,_д"/>
            <w:r/>
            <w:bookmarkStart w:id="127" w:name="_Порядок,_дата_начала,"/>
            <w:r/>
            <w:bookmarkEnd w:id="126"/>
            <w:r/>
            <w:bookmarkEnd w:id="12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8" w:name="_Дата_рассмотрения_предложений"/>
            <w:r/>
            <w:bookmarkEnd w:id="12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30"/>
              <w:ind w:left="0"/>
              <w:jc w:val="both"/>
            </w:pPr>
            <w:r>
              <w:t xml:space="preserve">Применяются следующие этапы:</w:t>
            </w:r>
            <w:r/>
          </w:p>
          <w:p>
            <w:pPr>
              <w:pStyle w:val="1430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</w:p>
          <w:p>
            <w:pPr>
              <w:pStyle w:val="1430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</w:p>
          <w:p>
            <w:pPr>
              <w:pStyle w:val="1430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</w:p>
          <w:p>
            <w:pPr>
              <w:pStyle w:val="1446"/>
            </w:pPr>
            <w:r/>
            <w:r/>
          </w:p>
          <w:p>
            <w:pPr>
              <w:pStyle w:val="1446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1446"/>
              <w:jc w:val="both"/>
            </w:pPr>
            <w:r/>
            <w:r/>
          </w:p>
          <w:p>
            <w:pPr>
              <w:pStyle w:val="1446"/>
              <w:jc w:val="both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«04» июня 2026 года;</w:t>
            </w:r>
            <w:r/>
          </w:p>
          <w:p>
            <w:pPr>
              <w:pStyle w:val="1446"/>
              <w:jc w:val="both"/>
            </w:pPr>
            <w:r/>
            <w:r/>
          </w:p>
          <w:p>
            <w:pPr>
              <w:pStyle w:val="1446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разъяснений положений документации о закупке:</w:t>
            </w:r>
            <w:r>
              <w:rPr>
                <w:b/>
                <w:bCs/>
              </w:rPr>
            </w:r>
          </w:p>
          <w:p>
            <w:pPr>
              <w:pStyle w:val="1446"/>
              <w:jc w:val="both"/>
              <w:rPr>
                <w:highlight w:val="white"/>
              </w:rPr>
            </w:pPr>
            <w:r>
              <w:t xml:space="preserve">«22» июня 2026 го</w:t>
            </w:r>
            <w:r>
              <w:rPr>
                <w:highlight w:val="white"/>
              </w:rPr>
              <w:t xml:space="preserve">да 13:00 (МСК-1)</w:t>
            </w:r>
            <w:r>
              <w:rPr>
                <w:highlight w:val="white"/>
              </w:rPr>
            </w:r>
          </w:p>
          <w:p>
            <w:pPr>
              <w:pStyle w:val="1446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446"/>
              <w:jc w:val="both"/>
            </w:pPr>
            <w:r>
              <w:rPr>
                <w:b/>
              </w:rPr>
              <w:t xml:space="preserve">Дата и время окончания срока, последний день срока подачи Заявок</w:t>
            </w:r>
            <w:r>
              <w:t xml:space="preserve">:</w:t>
            </w:r>
            <w:r/>
          </w:p>
          <w:p>
            <w:pPr>
              <w:pStyle w:val="1446"/>
              <w:jc w:val="both"/>
              <w:rPr>
                <w:highlight w:val="white"/>
              </w:rPr>
            </w:pPr>
            <w:r>
              <w:t xml:space="preserve">«22» июня 2026 го</w:t>
            </w:r>
            <w:r>
              <w:rPr>
                <w:highlight w:val="white"/>
              </w:rPr>
              <w:t xml:space="preserve">да 14:00 (МСК-1)</w:t>
            </w:r>
            <w:r>
              <w:rPr>
                <w:highlight w:val="white"/>
              </w:rPr>
            </w:r>
          </w:p>
          <w:p>
            <w:pPr>
              <w:pStyle w:val="1446"/>
              <w:jc w:val="both"/>
            </w:pPr>
            <w:r/>
            <w:r/>
          </w:p>
          <w:p>
            <w:pPr>
              <w:pStyle w:val="1446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</w:p>
          <w:p>
            <w:pPr>
              <w:pStyle w:val="1446"/>
              <w:jc w:val="both"/>
            </w:pPr>
            <w: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/>
          </w:p>
          <w:p>
            <w:pPr>
              <w:pStyle w:val="1446"/>
              <w:jc w:val="both"/>
            </w:pPr>
            <w:r>
              <w:t xml:space="preserve">Дата проведения этапа: </w:t>
            </w:r>
            <w:r>
              <w:t xml:space="preserve">«10</w:t>
            </w:r>
            <w:r>
              <w:t xml:space="preserve">» ию</w:t>
            </w:r>
            <w:r>
              <w:t xml:space="preserve">л</w:t>
            </w:r>
            <w:r>
              <w:t xml:space="preserve">я 2026 года.</w:t>
            </w:r>
            <w:r/>
          </w:p>
          <w:p>
            <w:pPr>
              <w:pStyle w:val="1446"/>
              <w:jc w:val="both"/>
            </w:pPr>
            <w:r/>
            <w:r/>
          </w:p>
          <w:p>
            <w:pPr>
              <w:pStyle w:val="1446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(трех) часов.</w:t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</w:p>
          <w:p>
            <w:pPr>
              <w:pStyle w:val="1446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1446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1446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</w:p>
          <w:p>
            <w:pPr>
              <w:pStyle w:val="1446"/>
              <w:jc w:val="both"/>
            </w:pPr>
            <w:r>
              <w:t xml:space="preserve">Дата проведения этапа: </w:t>
            </w:r>
            <w:r>
              <w:t xml:space="preserve">«17</w:t>
            </w:r>
            <w:r>
              <w:t xml:space="preserve">» ию</w:t>
            </w:r>
            <w:r>
              <w:t xml:space="preserve">л</w:t>
            </w:r>
            <w:bookmarkStart w:id="129" w:name="_GoBack"/>
            <w:r/>
            <w:bookmarkEnd w:id="129"/>
            <w:r>
              <w:t xml:space="preserve">я 2026 года.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0" w:name="_Адрес_элек"/>
            <w:r/>
            <w:bookmarkStart w:id="131" w:name="_Адрес_электронной_площадки"/>
            <w:r/>
            <w:bookmarkEnd w:id="130"/>
            <w:r/>
            <w:bookmarkEnd w:id="13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Сайт электронной торговой площадки:</w:t>
            </w:r>
            <w:r/>
          </w:p>
          <w:p>
            <w:pPr>
              <w:spacing w:after="0"/>
              <w:rPr>
                <w:b/>
              </w:rPr>
            </w:pPr>
            <w:r/>
            <w:hyperlink r:id="rId38" w:tooltip="https://tender.lot-online.ru" w:history="1">
              <w:r>
                <w:rPr>
                  <w:rStyle w:val="1337"/>
                </w:rPr>
                <w:t xml:space="preserve">https://tender.lot-online.ru</w:t>
              </w:r>
            </w:hyperlink>
            <w:r/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white"/>
              </w:rPr>
            </w:pPr>
            <w:r/>
            <w:bookmarkStart w:id="132" w:name="_Размер_обе"/>
            <w:r/>
            <w:bookmarkStart w:id="133" w:name="_Размер_обеспечения_заявок"/>
            <w:r/>
            <w:bookmarkEnd w:id="132"/>
            <w:r/>
            <w:bookmarkEnd w:id="133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Установлено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Сумма обеспечения заявки предусмотрена в размере 2% от начальной (максимальной) цены договора, что составляет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Cs/>
                <w:highlight w:val="white"/>
              </w:rPr>
              <w:t xml:space="preserve">1 220 000 (Один миллион двести двадцать тысяч) рублей 00 копеек</w:t>
            </w:r>
            <w:r>
              <w:rPr>
                <w:highlight w:val="white"/>
              </w:rPr>
              <w:t xml:space="preserve">, НДС не облагается.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white"/>
              </w:rPr>
              <w:t xml:space="preserve">Лицевой счет участника закупки, открытый оператором электронной площадки в соответствии с правилами, установленными Регламентом работы ЭТП</w:t>
            </w:r>
            <w:r>
              <w:rPr>
                <w:bCs/>
                <w:highlight w:val="whit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spacing w:after="0"/>
              <w:rPr>
                <w:bCs/>
                <w:highlight w:val="white"/>
              </w:rPr>
            </w:pPr>
            <w:r>
              <w:rPr>
                <w:highlight w:val="white"/>
              </w:rPr>
              <w:t xml:space="preserve">Порядок и случаи блокирования денежных средств, внесенных участниками закупки в целях обеспечения заявок на участие в закупке, </w:t>
            </w:r>
            <w:r>
              <w:rPr>
                <w:highlight w:val="white"/>
              </w:rPr>
              <w:t xml:space="preserve">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white"/>
              </w:rPr>
              <w:t xml:space="preserve">.</w:t>
            </w:r>
            <w:r>
              <w:rPr>
                <w:bCs/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rStyle w:val="1337"/>
                <w:highlight w:val="white"/>
              </w:rPr>
            </w:pPr>
            <w:r>
              <w:rPr>
                <w:bCs/>
                <w:highlight w:val="white"/>
              </w:rPr>
              <w:t xml:space="preserve">Требования к такому обеспечению, в том числе условия независимой гарантии установлены в пункте </w:t>
            </w:r>
            <w:hyperlink w:tooltip="#_Требования_к_обеспечению" w:anchor="_3.6._Требо" w:history="1">
              <w:r>
                <w:rPr>
                  <w:rStyle w:val="1337"/>
                  <w:highlight w:val="whit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rStyle w:val="1337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4" w:name="_Информация"/>
            <w:r/>
            <w:bookmarkStart w:id="135" w:name="_Сведения_о_предоставлении"/>
            <w:r/>
            <w:bookmarkEnd w:id="134"/>
            <w:r/>
            <w:bookmarkEnd w:id="13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об установлении запрета или ограничения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t xml:space="preserve">Не установлено.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закупки.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6" w:name="_Единые_требования_к"/>
            <w:r/>
            <w:bookmarkStart w:id="137" w:name="Par55"/>
            <w:r/>
            <w:bookmarkEnd w:id="136"/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Единые требования к участникам закупки</w:t>
            </w:r>
            <w:bookmarkEnd w:id="137"/>
            <w:r/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должен обладать гражданской правоспособностью в полном объеме для заключения и исполнения Договора;</w:t>
            </w:r>
            <w:r/>
          </w:p>
          <w:p>
            <w:pPr>
              <w:pStyle w:val="14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не должен являться неплатежеспособным или банкротом, должно отсутствовать</w:t>
            </w:r>
            <w:r>
              <w:t xml:space="preserve"> вступившее в законную силу решение арбитражного суда об открытии конкурсного производства, не должен находиться в процессе ликвидации, на имущество Участника не должен быть наложен арест, экономическая деятельность Участника не должна быть приостановлена;</w:t>
            </w:r>
            <w:r/>
          </w:p>
          <w:p>
            <w:pPr>
              <w:pStyle w:val="14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rPr>
                <w:bCs/>
              </w:rPr>
              <w:t xml:space="preserve">должна отсутствовать недоимка по налогам, сборам, задолженность по иным обязательным платежам в бюджеты бюджетной системы Российской Федерации за прошедший </w:t>
            </w:r>
            <w:r>
              <w:rPr>
                <w:bCs/>
              </w:rPr>
              <w:t xml:space="preserve">календарный год, размер которых превышает двадцать пять процентов балансовой стоимости активов Участника, по данным бухгалтерской отчетности за последний отчетный период;</w:t>
            </w:r>
            <w:r/>
          </w:p>
          <w:p>
            <w:pPr>
              <w:pStyle w:val="14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color w:val="000000" w:themeColor="text1"/>
              </w:rPr>
            </w:pPr>
            <w:r>
              <w:rPr>
                <w:lang w:eastAsia="zh-CN"/>
              </w:rPr>
              <w:t xml:space="preserve">в отношении лиц, осуществляющих функции исполнительного органа управления участника, лиц, в</w:t>
            </w:r>
            <w:r>
              <w:rPr>
                <w:lang w:eastAsia="zh-CN"/>
              </w:rPr>
              <w:t xml:space="preserve">ходящих в совет директоров (наблюдательный совет) участника должно отсутствовать административное наказание в виде дисквалификации. Должны отсутствовать сведения об участнике закупки в реестре розыска по исполнительным производствам на электронном портале </w:t>
            </w:r>
            <w:hyperlink r:id="rId39" w:tooltip="http://fssprus.ru/" w:history="1">
              <w:r>
                <w:rPr>
                  <w:rStyle w:val="1337"/>
                  <w:lang w:eastAsia="zh-CN"/>
                </w:rPr>
                <w:t xml:space="preserve">http://fssprus.ru/</w:t>
              </w:r>
            </w:hyperlink>
            <w:r>
              <w:rPr>
                <w:color w:val="000000" w:themeColor="text1"/>
              </w:rPr>
              <w:t xml:space="preserve">;</w:t>
            </w:r>
            <w:r>
              <w:rPr>
                <w:color w:val="000000" w:themeColor="text1"/>
              </w:rPr>
            </w:r>
          </w:p>
          <w:p>
            <w:pPr>
              <w:pStyle w:val="14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в течение двух лет до момента подачи заявки на участие в закупке, участник закупки не должен иметь фактов привлечения к административной ответственности за совершение административного правонарушения, предусмотренного </w:t>
            </w:r>
            <w:hyperlink r:id="rId40" w:tooltip="http://www.consultant.ru/document/cons_doc_LAW_34661/f61ff313afecf81a91a43d729c2df55c1d6a1533/" w:history="1">
              <w:r>
                <w:rPr>
                  <w:rStyle w:val="1337"/>
                </w:rPr>
                <w:t xml:space="preserve">статьей 19.28</w:t>
              </w:r>
            </w:hyperlink>
            <w:r>
              <w:t xml:space="preserve"> Кодекса Российской Федерации об административных правонарушениях;</w:t>
            </w:r>
            <w:r/>
          </w:p>
          <w:p>
            <w:pPr>
              <w:pStyle w:val="14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1" w:tooltip="https://zakupki.gov.ru/epz/dishonestsupplier/search/results.html" w:history="1">
              <w:r>
                <w:rPr>
                  <w:rStyle w:val="1337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2" w:tooltip="https://www.consultant.ru/document/cons_doc_LAW_116964/a3b63487ad7d07ce045a07b0f1e7a9d9b064de95/?ysclid=lgq77170fl163638946" w:history="1">
              <w:r>
                <w:rPr>
                  <w:rStyle w:val="1337"/>
                </w:rPr>
                <w:t xml:space="preserve">Федеральным законом от 18.07.2011 № 223-ФЗ «О закупках товаров, работ, услуг отдельными видами юридических лиц»</w:t>
              </w:r>
            </w:hyperlink>
            <w:r>
              <w:t xml:space="preserve">;</w:t>
            </w:r>
            <w:r/>
          </w:p>
          <w:p>
            <w:pPr>
              <w:pStyle w:val="14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3" w:tooltip="https://zakupki.gov.ru/epz/dishonestsupplier/search/results.html" w:history="1">
              <w:r>
                <w:rPr>
                  <w:rStyle w:val="1337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4" w:tooltip="https://www.consultant.ru/document/cons_doc_LAW_144624/af90cad46f4484d18fa490ef1c9d7a3b2fd3be3b/" w:history="1">
              <w:r>
                <w:rPr>
                  <w:rStyle w:val="1337"/>
                </w:rPr>
                <w:t xml:space="preserve">Федеральным законом от 05.04.2013 N 44-ФЗ «О контрактной системе в сфере закупок товаров, работ, услуг для обеспечения государственных и муниципальных нужд»</w:t>
              </w:r>
            </w:hyperlink>
            <w:r>
              <w:t xml:space="preserve">;</w:t>
            </w:r>
            <w:r/>
          </w:p>
          <w:p>
            <w:pPr>
              <w:pStyle w:val="1430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    отсутствие сведений об Участнике в </w:t>
            </w:r>
            <w:hyperlink r:id="rId45" w:tooltip="https://minjust.gov.ru/ru/activity/directions/998/" w:history="1">
              <w:r>
                <w:rPr>
                  <w:rStyle w:val="1337"/>
                </w:rPr>
                <w:t xml:space="preserve">Реестре</w:t>
              </w:r>
            </w:hyperlink>
            <w:r>
              <w:t xml:space="preserve"> иностранных агентов, размещенном на официальном сайте уполномоченного органа в информационно-телекоммуникационной сети «Интернет», который ведется в соответствии с </w:t>
            </w:r>
            <w:hyperlink r:id="rId46" w:tooltip="https://www.consultant.ru/document/cons_doc_LAW_421788/?ysclid=lg20fc4h7v470804950" w:history="1">
              <w:r>
                <w:rPr>
                  <w:rStyle w:val="1337"/>
                </w:rPr>
                <w:t xml:space="preserve">Федеральным законом от 14 июля 2022 года N 255-ФЗ «О контроле за деятельностью лиц, находящихся под иностранным влиянием»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8" w:name="_Требования,_установленные_в"/>
            <w:r/>
            <w:bookmarkEnd w:id="138"/>
            <w:r>
              <w:rPr>
                <w:rFonts w:ascii="Times New Roman" w:hAnsi="Times New Roman" w:cs="Times New Roman"/>
                <w:b w:val="0"/>
                <w:bCs w:val="0"/>
              </w:rPr>
              <w:t xml:space="preserve">Требования, установленные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contextualSpacing/>
              <w:tabs>
                <w:tab w:val="left" w:pos="459" w:leader="none"/>
              </w:tabs>
              <w:rPr>
                <w:highlight w:val="white"/>
              </w:rPr>
            </w:pPr>
            <w:r>
              <w:rPr>
                <w:b/>
                <w:bCs/>
                <w:highlight w:val="white"/>
                <w:lang w:eastAsia="en-US"/>
              </w:rPr>
              <w:t xml:space="preserve">Установлены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contextualSpacing/>
              <w:tabs>
                <w:tab w:val="left" w:pos="459" w:leader="none"/>
              </w:tabs>
            </w:pPr>
            <w:r/>
            <w:r/>
          </w:p>
          <w:p>
            <w:pPr>
              <w:pStyle w:val="1430"/>
              <w:numPr>
                <w:ilvl w:val="1"/>
                <w:numId w:val="29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Участник должен быть членом саморегулируемой организации:</w:t>
            </w:r>
            <w:r>
              <w:rPr>
                <w:highlight w:val="white"/>
              </w:rPr>
            </w:r>
          </w:p>
          <w:p>
            <w:pPr>
              <w:pStyle w:val="1430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инженерных изысканий</w:t>
            </w:r>
            <w:r>
              <w:rPr>
                <w:highlight w:val="white"/>
              </w:rPr>
              <w:t xml:space="preserve"> (не требуется членство в саморегулируемых организациях в области инженерных изысканий в случаях, которые перечислены в части </w:t>
            </w:r>
            <w:hyperlink r:id="rId47" w:tooltip="https://www.consultant.ru/document/cons_doc_LAW_51040/f651879e0acd4680a6fdc29f983536624055cbcc/?ysclid=lh7dhcp1aq961991988#dst1676" w:anchor="dst1676" w:history="1">
              <w:r>
                <w:rPr>
                  <w:rStyle w:val="1337"/>
                  <w:highlight w:val="white"/>
                </w:rPr>
                <w:t xml:space="preserve">2.1 статьи 47 Градостроительного кодекса </w:t>
              </w:r>
              <w:r>
                <w:rPr>
                  <w:rStyle w:val="1337"/>
                  <w:highlight w:val="white"/>
                </w:rPr>
                <w:t xml:space="preserve">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48" w:tooltip="https://nopriz.ru/" w:history="1">
              <w:r>
                <w:rPr>
                  <w:rStyle w:val="1337"/>
                  <w:highlight w:val="white"/>
                </w:rPr>
                <w:t xml:space="preserve">https://nopriz.ru/</w:t>
              </w:r>
            </w:hyperlink>
            <w:r>
              <w:rPr>
                <w:highlight w:val="white"/>
              </w:rPr>
              <w:t xml:space="preserve">;</w:t>
            </w:r>
            <w:r>
              <w:rPr>
                <w:i/>
                <w:highlight w:val="white"/>
              </w:rPr>
            </w:r>
          </w:p>
          <w:p>
            <w:pPr>
              <w:pStyle w:val="1430"/>
              <w:numPr>
                <w:ilvl w:val="0"/>
                <w:numId w:val="30"/>
              </w:numPr>
              <w:ind w:left="0" w:firstLine="283"/>
              <w:jc w:val="both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проектирования</w:t>
            </w:r>
            <w:r>
              <w:rPr>
                <w:highlight w:val="white"/>
              </w:rPr>
              <w:t xml:space="preserve"> (не требуется членство в саморегулируемых организациях в области архитектурно-строительного проектирования в случаях, которые перечислены в </w:t>
            </w:r>
            <w:hyperlink r:id="rId49" w:tooltip="https://www.consultant.ru/document/cons_doc_LAW_51040/b884020ea7453099ba8bc9ca021b84982cadea7d/?ysclid=lh7dkmbcyr186717647#dst1683" w:anchor="dst1683" w:history="1">
              <w:r>
                <w:rPr>
                  <w:rStyle w:val="1337"/>
                  <w:highlight w:val="white"/>
                </w:rPr>
                <w:t xml:space="preserve">части 4.1 статьи 48 Градостроительного кодекса 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50" w:tooltip="https://nopriz.ru/" w:history="1">
              <w:r>
                <w:rPr>
                  <w:rStyle w:val="1337"/>
                  <w:highlight w:val="white"/>
                </w:rPr>
                <w:t xml:space="preserve">https://nopriz.ru/</w:t>
              </w:r>
            </w:hyperlink>
            <w:r>
              <w:rPr>
                <w:highlight w:val="white"/>
              </w:rPr>
              <w:t xml:space="preserve">)</w:t>
            </w:r>
            <w:r>
              <w:rPr>
                <w:highlight w:val="white"/>
              </w:rPr>
            </w:r>
          </w:p>
          <w:p>
            <w:pPr>
              <w:pStyle w:val="1430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строительства, реконструкции, капитального ремонта объектов капитального строительства</w:t>
            </w:r>
            <w:r>
              <w:rPr>
                <w:highlight w:val="white"/>
              </w:rPr>
              <w:t xml:space="preserve"> (не требуется членство в саморегулируемых организациях в области строительства, реконструкции, капитального ремонта в случаях, которые перечислены в </w:t>
            </w:r>
            <w:hyperlink r:id="rId51" w:tooltip="https://www.consultant.ru/document/cons_doc_LAW_51040/df32b8231cf067c4d4e864c717eb6b398358b504/?ysclid=lh7dmiyi73943741650#dst1696" w:anchor="dst1696" w:history="1">
              <w:r>
                <w:rPr>
                  <w:rStyle w:val="1337"/>
                  <w:highlight w:val="white"/>
                </w:rPr>
                <w:t xml:space="preserve">части 2.1 и в части 2.2 статьи 52 Градостроительного кодекса 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52" w:tooltip="https://nostroy.ru/" w:history="1">
              <w:r>
                <w:rPr>
                  <w:rStyle w:val="1337"/>
                  <w:highlight w:val="white"/>
                </w:rPr>
                <w:t xml:space="preserve">https://nostroy.ru/</w:t>
              </w:r>
            </w:hyperlink>
            <w:r>
              <w:rPr>
                <w:i/>
                <w:highlight w:val="white"/>
              </w:rPr>
              <w:t xml:space="preserve">.</w:t>
            </w:r>
            <w:r>
              <w:rPr>
                <w:i/>
                <w:highlight w:val="white"/>
              </w:rPr>
            </w:r>
          </w:p>
          <w:p>
            <w:pPr>
              <w:pStyle w:val="1430"/>
              <w:ind w:left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Участник закупки, должен иметь право выполнять работы в отношении объектов капитального строительства (кроме особо опасных, технически сложных и уникальных объектов, а также объектов использования атомной энергии).</w:t>
            </w:r>
            <w:r>
              <w:rPr>
                <w:highlight w:val="white"/>
              </w:rPr>
            </w:r>
          </w:p>
          <w:p>
            <w:pPr>
              <w:pStyle w:val="1430"/>
              <w:ind w:left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Саморегулируемая организация, в которой состоит участник, должна иметь компенсационный фонд обеспечения договорных обязательств.</w:t>
            </w:r>
            <w:r>
              <w:rPr>
                <w:highlight w:val="white"/>
              </w:rPr>
            </w:r>
          </w:p>
          <w:p>
            <w:pPr>
              <w:spacing w:after="0"/>
              <w:shd w:val="clear" w:color="auto" w:fill="ffffff"/>
              <w:rPr>
                <w:highlight w:val="white"/>
              </w:rPr>
            </w:pPr>
            <w:r>
              <w:rPr>
                <w:highlight w:val="white"/>
              </w:rPr>
              <w:t xml:space="preserve"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430"/>
              <w:contextualSpacing/>
              <w:ind w:left="0"/>
              <w:jc w:val="both"/>
              <w:tabs>
                <w:tab w:val="left" w:pos="351" w:leader="none"/>
              </w:tabs>
            </w:pPr>
            <w:r/>
            <w:bookmarkStart w:id="139" w:name="_Квалификационные_требования_к"/>
            <w:r/>
            <w:bookmarkStart w:id="140" w:name="Par56"/>
            <w:r/>
            <w:bookmarkEnd w:id="139"/>
            <w:r>
              <w:t xml:space="preserve">Иные отборочные критерии, установленные в соответствии </w:t>
            </w:r>
            <w:bookmarkEnd w:id="140"/>
            <w:r>
              <w:t xml:space="preserve">с   Приложением 1 к «Типовым требованиям к участникам закупок, критериям и порядку оценки заявок участников закупок» Единого стандарта ПАО «Россети»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contextualSpacing/>
              <w:tabs>
                <w:tab w:val="left" w:pos="459" w:leader="none"/>
              </w:tabs>
            </w:pPr>
            <w:r>
              <w:rPr>
                <w:b/>
                <w:bCs/>
                <w:highlight w:val="white"/>
                <w:lang w:eastAsia="en-US"/>
              </w:rPr>
              <w:t xml:space="preserve">Установлены</w:t>
            </w:r>
            <w:r>
              <w:t xml:space="preserve">.</w:t>
            </w:r>
            <w:r/>
          </w:p>
          <w:p>
            <w:pPr>
              <w:pStyle w:val="1430"/>
              <w:numPr>
                <w:ilvl w:val="0"/>
                <w:numId w:val="31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highlight w:val="white"/>
              </w:rPr>
            </w:pPr>
            <w:r>
              <w:t xml:space="preserve">должен иметь за последние 3 (три) года на дату размещения из</w:t>
            </w:r>
            <w:r>
              <w:t xml:space="preserve">вещения о закупке на официальном сайте единой информационной системы в сфере закупок в информационно-телекоммуникационной сети Интернет опыт исполнения аналогичных договоров на общую сумму (без НДС) не менее 80% (восемьдесят процентов) стоимости начальной </w:t>
            </w:r>
            <w:r>
              <w:t xml:space="preserve">(максимальной) цены договора (лота) (без </w:t>
            </w:r>
            <w:r>
              <w:rPr>
                <w:highlight w:val="white"/>
              </w:rPr>
              <w:t xml:space="preserve">НДС), установленной в настоящей информационной карте закупки.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  <w:bCs/>
                <w:i/>
                <w:highlight w:val="white"/>
                <w:u w:val="single"/>
              </w:rPr>
            </w:pPr>
            <w:r>
              <w:rPr>
                <w:b/>
                <w:highlight w:val="white"/>
              </w:rPr>
              <w:t xml:space="preserve">При этом аналогичными договорами будут признаны договоры на: </w:t>
            </w:r>
            <w:r>
              <w:rPr>
                <w:b/>
                <w:bCs/>
                <w:i/>
                <w:highlight w:val="white"/>
                <w:u w:val="single"/>
              </w:rPr>
            </w:r>
          </w:p>
          <w:p>
            <w:pPr>
              <w:pStyle w:val="1430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кВт;</w:t>
            </w:r>
            <w:r/>
          </w:p>
          <w:p>
            <w:pPr>
              <w:pStyle w:val="1430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работ по проектированию объектов электросетевого хозяйства напряжением от 0,4 кВ до 15 кВ, мощностью от 1 до 150 кВт;</w:t>
            </w:r>
            <w:r/>
          </w:p>
          <w:p>
            <w:pPr>
              <w:pStyle w:val="1430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/>
          </w:p>
          <w:p>
            <w:pPr>
              <w:spacing w:after="0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единой информационной системы в сфере з</w:t>
            </w:r>
            <w:r>
              <w:t xml:space="preserve">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предусмотрена), либо в актах выполненных работ. </w:t>
            </w:r>
            <w:r/>
          </w:p>
          <w:p>
            <w:pPr>
              <w:pStyle w:val="140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1" w:name="_Сведения_и"/>
            <w:r/>
            <w:bookmarkStart w:id="142" w:name="_Сведения_и_документы,"/>
            <w:r/>
            <w:bookmarkStart w:id="143" w:name="Par66"/>
            <w:r/>
            <w:bookmarkEnd w:id="141"/>
            <w:r/>
            <w:bookmarkEnd w:id="14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и документы, входящие в состав заявки на участие </w:t>
            </w:r>
            <w:bookmarkEnd w:id="143"/>
            <w:r/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ценового предложения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Комм" w:history="1">
              <w:r>
                <w:rPr>
                  <w:rStyle w:val="1337"/>
                  <w:lang w:eastAsia="en-US"/>
                </w:rPr>
                <w:t xml:space="preserve">КОММЕРЧЕСКОЕ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).</w:t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/>
                <w:bCs/>
                <w:color w:val="ff0000"/>
                <w:u w:val="single"/>
                <w:lang w:eastAsia="en-US"/>
              </w:rPr>
              <w:t xml:space="preserve">Примечание:</w:t>
            </w:r>
            <w:r>
              <w:rPr>
                <w:bCs/>
                <w:color w:val="ff0000"/>
                <w:lang w:eastAsia="en-US"/>
              </w:rPr>
              <w:t xml:space="preserve"> участник закупки в </w:t>
            </w:r>
            <w:hyperlink w:tooltip="#_ФОРМА_Коммерческое_предложение" w:anchor="_ФОРМА_Комм" w:history="1">
              <w:r>
                <w:rPr>
                  <w:rStyle w:val="1337"/>
                  <w:bCs/>
                  <w:lang w:eastAsia="en-US"/>
                </w:rPr>
                <w:t xml:space="preserve">КОММЕРЧЕСКОМ ПРЕДЛОЖЕНИИ</w:t>
              </w:r>
            </w:hyperlink>
            <w:r>
              <w:rPr>
                <w:bCs/>
                <w:color w:val="ff0000"/>
                <w:lang w:eastAsia="en-US"/>
              </w:rPr>
              <w:t xml:space="preserve"> должен указать предложение о коэффициенте </w:t>
            </w:r>
            <w:r>
              <w:rPr>
                <w:bCs/>
                <w:color w:val="ff0000"/>
                <w:lang w:eastAsia="en-US"/>
              </w:rPr>
              <w:t xml:space="preserve">понижения цены.</w:t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формировании ценовой части заявки участник закупки указывает в форме, заполняемой на ЭТП, условную итоговую стоимость заявки участника.</w:t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pStyle w:val="13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этом участник закупки загружает в ценовую часть заявки на ЭТП заполненный файл </w:t>
            </w:r>
            <w:hyperlink w:tooltip="#_ФОРМА_Коммерческое_предложение" w:anchor="_ФОРМА_Комм" w:history="1">
              <w:r>
                <w:rPr>
                  <w:rStyle w:val="1337"/>
                  <w:bCs/>
                  <w:lang w:eastAsia="en-US"/>
                </w:rPr>
                <w:t xml:space="preserve">КОММЕРЧЕСКОГО ПРЕДЛОЖЕНИЯ</w:t>
              </w:r>
            </w:hyperlink>
            <w:r>
              <w:rPr>
                <w:bCs/>
                <w:color w:val="ff0000"/>
                <w:lang w:eastAsia="en-US"/>
              </w:rPr>
              <w:t xml:space="preserve"> в редактируемом формате и в виде сканированного образа документа, подписанного уполномоченным лицом участника.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общей части заявки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Style w:val="1337"/>
                <w:color w:val="auto"/>
                <w:u w:val="none"/>
                <w:lang w:eastAsia="en-US"/>
              </w:rPr>
            </w:pPr>
            <w:r>
              <w:rPr>
                <w:color w:val="auto"/>
                <w:u w:val="none"/>
                <w:lang w:eastAsia="en-US"/>
              </w:rPr>
            </w:r>
            <w:r>
              <w:rPr>
                <w:rStyle w:val="1337"/>
                <w:color w:val="auto"/>
                <w:u w:val="none"/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ТЕХН" w:history="1">
              <w:r>
                <w:rPr>
                  <w:rStyle w:val="1337"/>
                  <w:lang w:eastAsia="en-US"/>
                </w:rPr>
                <w:t xml:space="preserve">ТЕХНИЧЕСКОЕ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/>
            <w:hyperlink w:tooltip="#_ФОРМА_Письмо_о" w:anchor="_ФОРМА_Пись" w:history="1">
              <w:r>
                <w:rPr>
                  <w:rStyle w:val="1337"/>
                  <w:lang w:eastAsia="en-US"/>
                </w:rPr>
                <w:t xml:space="preserve">ПИСЬМО О ПОДАЧЕ ОФЕРТЫ</w:t>
              </w:r>
            </w:hyperlink>
            <w:r>
              <w:rPr>
                <w:rStyle w:val="1337"/>
                <w:color w:val="auto"/>
                <w:u w:val="none"/>
                <w:lang w:eastAsia="en-US"/>
              </w:rPr>
              <w:t xml:space="preserve"> по форме и в соответствии с инструкциями, приведенными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37"/>
                <w:color w:val="auto"/>
                <w:u w:val="none"/>
                <w:lang w:eastAsia="en-US"/>
              </w:rPr>
              <w:t xml:space="preserve">)</w:t>
            </w:r>
            <w:r>
              <w:t xml:space="preserve">;</w:t>
            </w:r>
            <w:r/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(приказы, протоколы собрания учредителей о назначении руководителя и т.д.), подтверждающие</w:t>
            </w:r>
            <w:r>
              <w:rPr>
                <w:lang w:eastAsia="en-US"/>
              </w:rPr>
              <w:t xml:space="preserve"> полномочия лица, подписавшего Заявку, а также его право на заключение соответствующего Договора по результатам закупки. Если Заявка подписывается по доверенности, предоставляется такая доверенность и вышеуказанные документы на лицо, выдавшее доверенность;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Выписка из Единого государственног</w:t>
            </w:r>
            <w:r>
              <w:rPr>
                <w:lang w:eastAsia="en-US"/>
              </w:rPr>
              <w:t xml:space="preserve">о реестра юридических лиц (ЕГРЮЛ) (либо выписка из Единого государственного реестра индивидуальных предпринимателей (ЕГРИП) для индивидуальных предпринимателей), выданная соответствующим подразделением Министерства Российской Федерации по налогом и сборам </w:t>
            </w:r>
            <w:r>
              <w:rPr>
                <w:b/>
                <w:bCs/>
                <w:lang w:eastAsia="en-US"/>
              </w:rPr>
              <w:t xml:space="preserve">не ранее чем за 60 (шестьдесят) календарных дней до срока окончания приема Заявок</w:t>
            </w:r>
            <w:r>
              <w:rPr>
                <w:lang w:eastAsia="en-US"/>
              </w:rPr>
              <w:t xml:space="preserve">. Участник так же может предоставить  выписку из ЕГРЮЛ / ЕГРИП  подписанную усиленной квалифицированной электронной цифровой </w:t>
            </w:r>
            <w:r>
              <w:rPr>
                <w:lang w:eastAsia="en-US"/>
              </w:rPr>
              <w:t xml:space="preserve">подписью налогового органа, и сформированную, не ранее, чем за 60 (шестьдесят) календарных  дней до срока ок</w:t>
            </w:r>
            <w:r>
              <w:rPr>
                <w:lang w:eastAsia="en-US"/>
              </w:rPr>
              <w:t xml:space="preserve">ончания приема Заявок, с использованием сервиса «Предоставление сведений из ЕГРЮЛ / ЕГРИП о конкретном юридическом лице/индивидуальном предпринимателе в форме электронного  документа», размещенного на официальном сайте ФНС России в сети Интернет по адресу </w:t>
            </w:r>
            <w:hyperlink r:id="rId53" w:tooltip="https://service.nalog.ru/vyp/" w:history="1">
              <w:r>
                <w:rPr>
                  <w:rStyle w:val="1337"/>
                  <w:lang w:eastAsia="en-US"/>
                </w:rPr>
                <w:t xml:space="preserve">https://service.nalog.ru/vyp/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Устав в действующей редакции со всеми изменениями и дополнениями;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/>
            <w:hyperlink w:tooltip="#_ФОРМА_ПЛАН_РАСПРЕДЕЛЕНИЯ" w:anchor="_ФОРМА_План" w:history="1">
              <w:r>
                <w:rPr>
                  <w:rStyle w:val="1337"/>
                  <w:lang w:eastAsia="en-US"/>
                </w:rPr>
                <w:t xml:space="preserve">ПЛАН РАСПРЕДЕЛЕНИЯ ОБЪЕМОВ МЕЖДУ ЧЛЕНАМИ КОЛЛЕКТИВНОГО УЧАСТНИКА (КОНСОРЦИУМА, ПРОСТОГО ТОВАРИЩЕСТВА)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</w:t>
            </w:r>
            <w:r>
              <w:rPr>
                <w:i/>
                <w:lang w:eastAsia="en-US"/>
              </w:rPr>
              <w:t xml:space="preserve"> (Предоставляется в случае участия в закупке Коллективного участника, отсутствие указанного документа в составе заявки означает, что коллективный участник не принимает участие в закупке);</w:t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Анкета_участника" w:anchor="_ФОРМА_Анке" w:history="1">
              <w:r>
                <w:rPr>
                  <w:rStyle w:val="1337"/>
                  <w:lang w:eastAsia="en-US"/>
                </w:rPr>
                <w:t xml:space="preserve">АНКЕТА УЧАСТНИКА ЗАКУПКИ</w:t>
              </w:r>
            </w:hyperlink>
            <w:r>
              <w:rPr>
                <w:rStyle w:val="1337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>
              <w:rPr>
                <w:lang w:eastAsia="en-US"/>
              </w:rPr>
              <w:t xml:space="preserve">Сведения из Е</w:t>
            </w:r>
            <w:r>
              <w:rPr>
                <w:lang w:eastAsia="en-US"/>
              </w:rPr>
              <w:t xml:space="preserve">диного реестра субъектов малого и среднего предпринимательства, подтверждающие отнесение Участника к субъектам МСП, ведение которого осуществляется в соответствии с Федеральным законом 24.07.2007 № 209-ФЗ «О развитии малого и среднего предпринимательства» </w:t>
            </w:r>
            <w:r>
              <w:rPr>
                <w:i/>
                <w:lang w:eastAsia="en-US"/>
              </w:rPr>
              <w:t xml:space="preserve">(предоставляется в случае, если Участник является субъектом малого или среднего предпринимательства);</w:t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>
              <w:rPr>
                <w:rFonts w:eastAsia="Calibri"/>
                <w:lang w:eastAsia="en-US"/>
              </w:rPr>
              <w:t xml:space="preserve"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lang w:eastAsia="en-US"/>
              </w:rPr>
              <w:t xml:space="preserve">Форма по КНД 1120101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</w:rPr>
              <w:t xml:space="preserve"> полученная </w:t>
            </w:r>
            <w:r>
              <w:rPr>
                <w:b/>
                <w:bCs/>
              </w:rPr>
              <w:t xml:space="preserve">не ранее чем за 60 (шестьдесят) дней до срока окончания подачи заявок</w:t>
            </w:r>
            <w:r>
              <w:rPr>
                <w:rFonts w:eastAsia="Calibri"/>
              </w:rPr>
              <w:t xml:space="preserve">*.</w:t>
            </w:r>
            <w:r/>
          </w:p>
          <w:p>
            <w:pPr>
              <w:pStyle w:val="13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Fonts w:eastAsia="Calibri"/>
                <w:i/>
                <w:iCs/>
                <w:lang w:eastAsia="en-US"/>
              </w:rPr>
            </w:pPr>
            <w:r>
              <w:rPr>
                <w:rFonts w:eastAsia="Calibri"/>
                <w:i/>
                <w:iCs/>
                <w:lang w:eastAsia="en-US"/>
              </w:rPr>
              <w:t xml:space="preserve">*В случае наличия в предоставленной Справке об исполнении налогоплательщиком (плательщиком сбора, плательщиком </w:t>
            </w:r>
            <w:r>
              <w:rPr>
                <w:rFonts w:eastAsia="Calibri"/>
                <w:i/>
                <w:iCs/>
                <w:lang w:eastAsia="en-US"/>
              </w:rPr>
              <w:t xml:space="preserve">страховых 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1120101</w:t>
            </w:r>
            <w:r>
              <w:rPr>
                <w:rFonts w:eastAsia="Calibri"/>
                <w:i/>
                <w:iCs/>
                <w:lang w:eastAsia="en-US"/>
              </w:rPr>
              <w:t xml:space="preserve">) информации об имеющейся задолженности, участник в</w:t>
            </w:r>
            <w:r>
              <w:rPr>
                <w:rFonts w:eastAsia="Calibri"/>
                <w:i/>
                <w:iCs/>
                <w:lang w:eastAsia="en-US"/>
              </w:rPr>
              <w:t xml:space="preserve"> обязательном порядке должен предоставить справку о наличии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</w:t>
            </w:r>
            <w:r>
              <w:rPr>
                <w:rFonts w:eastAsia="Calibri"/>
                <w:b/>
                <w:bCs/>
                <w:lang w:eastAsia="en-US"/>
              </w:rPr>
              <w:t xml:space="preserve">1160082</w:t>
            </w:r>
            <w:r>
              <w:rPr>
                <w:rFonts w:eastAsia="Calibri"/>
                <w:i/>
                <w:iCs/>
                <w:lang w:eastAsia="en-US"/>
              </w:rPr>
              <w:t xml:space="preserve">),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полученную не позднее чем за 60 (шестьдесят) дней до срока окончания подачи заявок</w:t>
            </w:r>
            <w:r>
              <w:rPr>
                <w:rFonts w:eastAsia="Calibri"/>
                <w:i/>
                <w:iCs/>
                <w:lang w:eastAsia="en-US"/>
              </w:rPr>
              <w:t xml:space="preserve">.</w:t>
            </w:r>
            <w:r>
              <w:rPr>
                <w:rFonts w:eastAsia="Calibri"/>
                <w:i/>
                <w:iCs/>
                <w:lang w:eastAsia="en-US"/>
              </w:rPr>
            </w:r>
          </w:p>
          <w:p>
            <w:pPr>
              <w:pStyle w:val="13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Вышеуказанные справки должны быть предоставлены одним из следующих форматов:</w:t>
            </w:r>
            <w:r>
              <w:rPr>
                <w:lang w:eastAsia="en-US"/>
              </w:rPr>
            </w:r>
          </w:p>
          <w:p>
            <w:pPr>
              <w:pStyle w:val="1430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</w:t>
            </w:r>
            <w:r>
              <w:t xml:space="preserve">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  При этом участник прикладывает архив, содержащий саму справку и файл, содержащий сведения о подписи;</w:t>
            </w:r>
            <w:r/>
          </w:p>
          <w:p>
            <w:pPr>
              <w:pStyle w:val="1430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форме электронного документа, выгруженного через ЭДО с нанесенными на него сведениями о цифровой подписи налогового органа и о цифровой подписи Участника;</w:t>
            </w:r>
            <w:r/>
          </w:p>
          <w:p>
            <w:pPr>
              <w:pStyle w:val="1430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форме копии с круглой печатью соответствующего подразделения ФНС, выдавшего справку.</w:t>
            </w:r>
            <w:r/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>
              <w:t xml:space="preserve">Документы, подтверждающие финансовую устойчивость участника закупки:</w:t>
            </w:r>
            <w:r/>
          </w:p>
          <w:p>
            <w:pPr>
              <w:pStyle w:val="1388"/>
              <w:numPr>
                <w:ilvl w:val="0"/>
                <w:numId w:val="35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обычной системы налогообложения</w:t>
            </w:r>
            <w:r>
              <w:t xml:space="preserve">:</w:t>
            </w:r>
            <w:r/>
          </w:p>
          <w:p>
            <w:pPr>
              <w:pStyle w:val="1388"/>
              <w:numPr>
                <w:ilvl w:val="0"/>
                <w:numId w:val="36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учете»;</w:t>
            </w:r>
            <w:r/>
          </w:p>
          <w:p>
            <w:pPr>
              <w:pStyle w:val="1388"/>
              <w:numPr>
                <w:ilvl w:val="0"/>
                <w:numId w:val="35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упрощенной системы налогообложения</w:t>
            </w:r>
            <w:r>
              <w:t xml:space="preserve">:</w:t>
            </w:r>
            <w:r/>
          </w:p>
          <w:p>
            <w:pPr>
              <w:pStyle w:val="1388"/>
              <w:numPr>
                <w:ilvl w:val="0"/>
                <w:numId w:val="37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год;</w:t>
            </w:r>
            <w:r/>
          </w:p>
          <w:p>
            <w:pPr>
              <w:pStyle w:val="1388"/>
              <w:numPr>
                <w:ilvl w:val="0"/>
                <w:numId w:val="37"/>
              </w:numPr>
              <w:ind w:left="0" w:firstLine="349"/>
              <w:tabs>
                <w:tab w:val="left" w:pos="383" w:leader="none"/>
              </w:tabs>
            </w:pPr>
            <w:r>
              <w:t xml:space="preserve">заявление о переходе на упрощенную систему налогообложения.</w:t>
            </w:r>
            <w:r/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rStyle w:val="1337"/>
                <w:color w:val="auto"/>
                <w:u w:val="none"/>
                <w:lang w:eastAsia="en-US"/>
              </w:rPr>
            </w:pPr>
            <w:r/>
            <w:hyperlink w:tooltip="#_ФОРМА_8._Декларация" w:anchor="_ФОРМА_Спра" w:history="1">
              <w:r>
                <w:rPr>
                  <w:rStyle w:val="1337"/>
                  <w:lang w:eastAsia="en-US"/>
                </w:rPr>
                <w:t xml:space="preserve">СПРАВКА О НАЛИЧИИ КОНФЛИКТА ИНТЕРЕСОВ И/ИЛИ СВЯЗЕЙ, НОСЯЩИХ ХАРАКТЕР АФФИЛИРОВАННОСТИ С </w:t>
              </w:r>
              <w:r>
                <w:rPr>
                  <w:rStyle w:val="1337"/>
                  <w:lang w:eastAsia="en-US"/>
                </w:rPr>
                <w:t xml:space="preserve">СОТРУДНИКАМИ ЗАКАЗЧИКА ИЛИ ОРГАНИЗАТОРА ЗАКУПКИ</w:t>
              </w:r>
            </w:hyperlink>
            <w:r>
              <w:rPr>
                <w:rStyle w:val="1337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37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337"/>
                <w:color w:val="auto"/>
                <w:u w:val="none"/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правка_(информация)" w:anchor="_ФОРМА_Спра_1" w:history="1">
              <w:r>
                <w:rPr>
                  <w:rStyle w:val="1337"/>
                  <w:lang w:eastAsia="en-US"/>
                </w:rPr>
                <w:t xml:space="preserve">СПРАВКА (ИНФОРМАЦИЯ) О СОБСТВЕННИКАХ УЧАСТНИКА ЗАКУПКИ (ВКЛЮЧАЯ КОНЕЧНЫХ БЕНЕФИЦИАРОВ)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rStyle w:val="1337"/>
                <w:color w:val="auto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37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огласие_на" w:anchor="_ФОРМА_Согл" w:history="1">
              <w:r>
                <w:rPr>
                  <w:rStyle w:val="1337"/>
                  <w:lang w:eastAsia="en-US"/>
                </w:rPr>
                <w:t xml:space="preserve">СОГЛАСИЕ НА ОБРАБОТКУ ПЕРСОНАЛЬНЫХ ДАННЫХ ОТ СОБСТВЕННИКОВ УЧАСТНИКА (ВКЛЮЧАЯ КОНЕЧНЫХ БЕНЕФИЦИАРОВ)</w:t>
              </w:r>
            </w:hyperlink>
            <w:r>
              <w:rPr>
                <w:rStyle w:val="1337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37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rStyle w:val="1337"/>
                <w:color w:val="auto"/>
                <w:u w:val="none"/>
                <w:lang w:eastAsia="en-US"/>
              </w:rPr>
            </w:pPr>
            <w:r/>
            <w:hyperlink w:tooltip="#_ФОРМА_Антикоррупционные_обязательст" w:anchor="_ФОРМА_Анти" w:history="1">
              <w:r>
                <w:rPr>
                  <w:rStyle w:val="1337"/>
                  <w:lang w:eastAsia="en-US"/>
                </w:rPr>
                <w:t xml:space="preserve">АНТИКОРРУПЦИОННЫЕ ОБЯЗАТЕЛЬСТВА</w:t>
              </w:r>
            </w:hyperlink>
            <w:r>
              <w:rPr>
                <w:rStyle w:val="1337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37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37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337"/>
                <w:color w:val="auto"/>
                <w:u w:val="none"/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</w:t>
            </w:r>
            <w:r>
              <w:rPr>
                <w:lang w:eastAsia="en-US"/>
              </w:rPr>
              <w:t xml:space="preserve">кументы и сведения,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указанные в пункте </w:t>
            </w:r>
            <w:hyperlink w:tooltip="#_Документы,_подтверждающие_соответст" w:anchor="_Документы," w:history="1">
              <w:r>
                <w:rPr>
                  <w:rStyle w:val="1337"/>
                  <w:lang w:eastAsia="en-US"/>
                </w:rPr>
                <w:t xml:space="preserve">18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</w:t>
            </w:r>
            <w:r>
              <w:rPr>
                <w:lang w:eastAsia="en-US"/>
              </w:rPr>
              <w:t xml:space="preserve">ия, подтверждающие соответствие иным отборочным критериям установленным в соответствии с   Приложением 1 к «Типовым требованиям к участникам закупок, критериям и порядку оценки  заявок участников закупок» Единого стандарта ПАО «Россети» указанные в пункте </w:t>
            </w:r>
            <w:hyperlink w:tooltip="#_Документы_и_сведения," w:anchor="_Документы_" w:history="1">
              <w:r>
                <w:rPr>
                  <w:rStyle w:val="1337"/>
                </w:rPr>
                <w:t xml:space="preserve">19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необходимые для оценки заявки по неценовым критериям указанные в пункте </w:t>
            </w:r>
            <w:hyperlink w:tooltip="#_Документы_и_сведения,_1" w:anchor="_Документы__1" w:history="1">
              <w:r>
                <w:rPr>
                  <w:rStyle w:val="1337"/>
                  <w:lang w:eastAsia="en-US"/>
                </w:rPr>
                <w:t xml:space="preserve">20 части II «ИНФОРМАЦИОННАЯ КАРТА ЗАКУПКИ»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(непредставление указанных документов и сведений не является основанием для отклонения заявки)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случае участия в закупке коллективного участника, заявка также должна содержать документы и сведения, предусмотренные пунктами </w:t>
            </w:r>
            <w:hyperlink w:tooltip="#_В_случае,_если" w:anchor="_3.4.5._В_с" w:history="1">
              <w:r>
                <w:rPr>
                  <w:rStyle w:val="1337"/>
                  <w:lang w:eastAsia="en-US"/>
                </w:rPr>
                <w:t xml:space="preserve">3.4.5</w:t>
              </w:r>
            </w:hyperlink>
            <w:r>
              <w:rPr>
                <w:lang w:eastAsia="en-US"/>
              </w:rPr>
              <w:t xml:space="preserve">, </w:t>
            </w:r>
            <w:hyperlink w:tooltip="#_В_случае,_если_1" w:anchor="_3.4.6._В_с" w:history="1">
              <w:r>
                <w:rPr>
                  <w:rStyle w:val="1337"/>
                  <w:lang w:eastAsia="en-US"/>
                </w:rPr>
                <w:t xml:space="preserve">3.4.6</w:t>
              </w:r>
            </w:hyperlink>
            <w:r>
              <w:rPr>
                <w:rStyle w:val="1337"/>
                <w:u w:val="none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настоящей документации о закупке;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Платежное поручение, подтверждающие факт перечисления денежных средств, внесенных на счет Заказчика в качестве обеспечения заявки на участие в закупке </w:t>
            </w:r>
            <w:r>
              <w:rPr>
                <w:bCs/>
                <w:i/>
                <w:lang w:eastAsia="en-US"/>
              </w:rPr>
              <w:t xml:space="preserve">(предоставляется в случае выбора Участником закупки обеспечения заявки в форме внесения денежных средств на счёт Заказчика)</w:t>
            </w:r>
            <w:r>
              <w:rPr>
                <w:bCs/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Независимая гарантия по обеспечению заявки на участие в закупке в соответствии с частью </w:t>
            </w:r>
            <w:hyperlink w:tooltip="#_Типовые_формы_независимых" w:anchor="_VII._ТИПОВ" w:history="1">
              <w:r>
                <w:rPr>
                  <w:rStyle w:val="1337"/>
                  <w:lang w:eastAsia="en-US"/>
                </w:rPr>
                <w:t xml:space="preserve">VII «ТИПОВЫЕ ФОРМЫ НЕЗАВИСИМЫХ ГАРАНТИЙ»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(предоставляется в случае выбора Участником закупки обеспечения заявки в форме независимой гарантии)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4" w:name="_Документы,"/>
            <w:r/>
            <w:bookmarkStart w:id="145" w:name="_Соответствие_требованиям,_установле"/>
            <w:r/>
            <w:bookmarkEnd w:id="144"/>
            <w:r/>
            <w:bookmarkEnd w:id="14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pStyle w:val="1388"/>
              <w:numPr>
                <w:ilvl w:val="0"/>
                <w:numId w:val="0"/>
              </w:numPr>
            </w:pPr>
            <w:r>
              <w:rPr>
                <w:lang w:eastAsia="en-US"/>
              </w:rPr>
              <w:t xml:space="preserve">Не требуются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white"/>
              </w:rPr>
            </w:pPr>
            <w:r/>
            <w:bookmarkStart w:id="146" w:name="_Документы_"/>
            <w:r/>
            <w:bookmarkStart w:id="147" w:name="_Документы_и_сведения,"/>
            <w:r/>
            <w:bookmarkEnd w:id="146"/>
            <w:r/>
            <w:bookmarkEnd w:id="147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к «Типовым требованиям к участникам закупок, критериям и порядку оценки  заявок участников закупок» Единого стандарта ПАО «Россети»</w:t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3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Требуются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pStyle w:val="13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88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/>
            <w:hyperlink w:tooltip="#_ФОРМА_Спра_2" w:anchor="_ФОРМА_Спра_2" w:history="1">
              <w:r>
                <w:rPr>
                  <w:rStyle w:val="1337"/>
                  <w:highlight w:val="white"/>
                </w:rPr>
                <w:t xml:space="preserve">СПРАВКА О ПЕРЕЧНЕ И ОБЪЕМАХ ИСПОЛНЕНИЯ АНАЛОГИЧНЫХ ДОГОВОРОВ ЗА 3 (ТРИ) ПОСЛЕДНИЕ ГОДА</w:t>
              </w:r>
            </w:hyperlink>
            <w:r>
              <w:rPr>
                <w:highlight w:val="white"/>
              </w:rPr>
              <w:t xml:space="preserve">, </w:t>
            </w:r>
            <w:r>
              <w:rPr>
                <w:highlight w:val="white"/>
                <w:lang w:eastAsia="en-US"/>
              </w:rPr>
              <w:t xml:space="preserve">по форме, установленной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37"/>
                  <w:highlight w:val="white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highlight w:val="white"/>
                <w:lang w:eastAsia="en-US"/>
              </w:rPr>
              <w:t xml:space="preserve">)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</w:p>
          <w:p>
            <w:pPr>
              <w:pStyle w:val="1388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исполненных аналогичных договоров, включающих все приложения к таким договорам, все дополнительные соглашения к ним.</w:t>
            </w:r>
            <w:r>
              <w:rPr>
                <w:highlight w:val="white"/>
              </w:rPr>
            </w:r>
          </w:p>
          <w:p>
            <w:pPr>
              <w:pStyle w:val="1388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копия последней «Справки о стоимости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  <w:color w:val="1f497d"/>
                <w:highlight w:val="white"/>
              </w:rPr>
            </w:pPr>
            <w:r>
              <w:rPr>
                <w:b/>
                <w:highlight w:val="white"/>
              </w:rPr>
              <w:t xml:space="preserve">или</w:t>
            </w:r>
            <w:r>
              <w:rPr>
                <w:b/>
                <w:color w:val="1f497d"/>
                <w:highlight w:val="white"/>
              </w:rPr>
            </w:r>
          </w:p>
          <w:p>
            <w:pPr>
              <w:pStyle w:val="1446"/>
              <w:ind w:firstLine="1276"/>
              <w:jc w:val="both"/>
              <w:tabs>
                <w:tab w:val="left" w:pos="459" w:leader="none"/>
                <w:tab w:val="left" w:pos="1985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«Актов о приемке выполненных работ» (форма КС-2 или иная форма в соответствии с условиями договора), содержащих все обязательные реквизиты, установленные частью 2 статьи 9 Федерального </w:t>
            </w:r>
            <w:r>
              <w:rPr>
                <w:highlight w:val="white"/>
              </w:rPr>
              <w:t xml:space="preserve">закона «О бухгалтерском учете» от 06.12.2011 № 402-ФЗ.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8" w:name="_Документы__1"/>
            <w:r/>
            <w:bookmarkStart w:id="149" w:name="_Документы_и_сведения,_1"/>
            <w:r/>
            <w:bookmarkEnd w:id="148"/>
            <w:r/>
            <w:bookmarkEnd w:id="149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необходимые для оценки заявки по неценовым критериям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3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Перечень документов, необходимых для оценки заявок указан в </w:t>
            </w:r>
            <w:hyperlink w:tooltip="#_Приложение_№_1" w:anchor="_Приложение_№_1" w:history="1">
              <w:r>
                <w:rPr>
                  <w:rStyle w:val="1337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/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0" w:name="_Размер_обеспечения_исполнения"/>
            <w:r/>
            <w:bookmarkStart w:id="151" w:name="Par67"/>
            <w:r/>
            <w:bookmarkEnd w:id="15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Размер обеспечения исполнения договора, срок и порядок его предоставления</w:t>
            </w:r>
            <w:bookmarkEnd w:id="151"/>
            <w:r/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Сумма обеспечения исполнения договора предусмотрена в размере:</w:t>
            </w:r>
            <w:r>
              <w:rPr>
                <w:highlight w:val="white"/>
              </w:rPr>
            </w:r>
          </w:p>
          <w:p>
            <w:pPr>
              <w:pStyle w:val="1388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5 % от начальной (максимальной) цены договора (цены лота) </w:t>
            </w:r>
            <w:r>
              <w:rPr>
                <w:highlight w:val="white"/>
              </w:rPr>
              <w:t xml:space="preserve">в случае предоставления обеспечения исполнения договора в форме независимой гарантии.</w:t>
            </w:r>
            <w:r>
              <w:rPr>
                <w:highlight w:val="white"/>
              </w:rPr>
            </w:r>
          </w:p>
          <w:p>
            <w:pPr>
              <w:pStyle w:val="1388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3 % от начальной (максимальной) цены договора (цены лота) в случае предоставления обеспечения исполнения договора в форме обеспечительного платежа;</w:t>
            </w:r>
            <w:r>
              <w:rPr>
                <w:highlight w:val="white"/>
              </w:rPr>
            </w:r>
          </w:p>
          <w:p>
            <w:pPr>
              <w:pStyle w:val="1388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10 % от начальной (максимальной) цены договора (не применяется для субъектов малого и среднего предпринимательства) в случае предоставления обеспечения исполнения договора в форме гарантийного депозита.</w:t>
            </w:r>
            <w:r>
              <w:rPr>
                <w:highlight w:val="white"/>
              </w:rPr>
            </w:r>
          </w:p>
          <w:p>
            <w:pPr>
              <w:pStyle w:val="1388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Срок предоставления обеспечения исполнения договора: в соответствии с требованиями, установленными в части </w:t>
            </w:r>
            <w:hyperlink w:tooltip="#_IV._ПРОЕКТ" w:anchor="_IV._ПРОЕКТ" w:history="1">
              <w:r>
                <w:rPr>
                  <w:rStyle w:val="1337"/>
                  <w:highlight w:val="white"/>
                </w:rPr>
                <w:t xml:space="preserve">IV «ПРОЕКТ ДОГОВОРА»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iCs/>
                <w:highlight w:val="white"/>
              </w:rPr>
              <w:t xml:space="preserve">Порядок внесения денежных средств и </w:t>
            </w:r>
            <w:r>
              <w:rPr>
                <w:highlight w:val="white"/>
              </w:rPr>
              <w:t xml:space="preserve">условия независимой гарантии установлены в разделе </w:t>
            </w:r>
            <w:hyperlink w:tooltip="#_Обеспечения_исполнения_договора," w:anchor="_ЗАКЛЮЧЕНИЕ,_ИЗМЕНЕНИЕ_И" w:history="1">
              <w:r>
                <w:rPr>
                  <w:rStyle w:val="1337"/>
                  <w:highlight w:val="white"/>
                </w:rPr>
                <w:t xml:space="preserve">6 части I «ОБЩИЕ УСЛОВИЯ ПРОВЕДЕНИЯ ЗАКУПКИ».</w:t>
              </w:r>
            </w:hyperlink>
            <w:r/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В случае принятия участником закупки решения о предоставлении обеспечения исполнения обязательств по договору в форме денежных средств, такие средства перечисляются на расчетный счет Заказчика, по реквизитам, указанным в части </w:t>
            </w:r>
            <w:hyperlink w:tooltip="#_ФОРМА_15._Справка" w:anchor="_IV._ПРОЕКТ" w:history="1">
              <w:r>
                <w:rPr>
                  <w:rStyle w:val="1337"/>
                  <w:highlight w:val="white"/>
                </w:rPr>
                <w:t xml:space="preserve">IV «ПРОЕКТ ДОГОВОРА»</w:t>
              </w:r>
            </w:hyperlink>
            <w:r>
              <w:rPr>
                <w:rStyle w:val="1337"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Критерии и порядок оценки и сопоставления заявок на участие в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hyperlink w:tooltip="#_Приложение_№_1" w:anchor="_Приложение" w:history="1">
              <w:r>
                <w:rPr>
                  <w:rStyle w:val="1337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2" w:name="_Право_зака"/>
            <w:r/>
            <w:bookmarkStart w:id="153" w:name="_Право_заказчика_заключить"/>
            <w:r/>
            <w:bookmarkEnd w:id="152"/>
            <w:r/>
            <w:bookmarkEnd w:id="153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Право заказчика заключить договор с несколькими участниками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предусмотрено.</w:t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0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19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возможности одностороннего отказа от исполнения обязательств, предусмотренных договором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договора.</w:t>
            </w:r>
            <w:r>
              <w:rPr>
                <w:i/>
              </w:rPr>
            </w:r>
          </w:p>
        </w:tc>
      </w:tr>
    </w:tbl>
    <w:p>
      <w:pPr>
        <w:pStyle w:val="1119"/>
        <w:jc w:val="right"/>
        <w:rPr>
          <w:rFonts w:ascii="Times New Roman" w:hAnsi="Times New Roman" w:cs="Times New Roman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19"/>
        <w:jc w:val="right"/>
        <w:rPr>
          <w:b w:val="0"/>
        </w:rPr>
      </w:pPr>
      <w:r/>
      <w:bookmarkStart w:id="154" w:name="_Приложение"/>
      <w:r/>
      <w:bookmarkStart w:id="155" w:name="_Приложение_№_1"/>
      <w:r/>
      <w:bookmarkEnd w:id="154"/>
      <w:r/>
      <w:bookmarkEnd w:id="155"/>
      <w:r>
        <w:rPr>
          <w:rFonts w:ascii="Times New Roman" w:hAnsi="Times New Roman" w:cs="Times New Roman"/>
        </w:rPr>
        <w:t xml:space="preserve">Приложение № 1 к части II «ИНФОРМАЦИОННАЯ КАРТА ЗАКУПКИ»</w:t>
      </w:r>
      <w:r>
        <w:rPr>
          <w:b w:val="0"/>
        </w:rPr>
        <w:t xml:space="preserve"> </w:t>
      </w:r>
      <w:r>
        <w:rPr>
          <w:b w:val="0"/>
        </w:rPr>
      </w:r>
    </w:p>
    <w:p>
      <w:pPr>
        <w:contextualSpacing/>
        <w:ind w:firstLine="200"/>
        <w:keepLines/>
        <w:spacing w:before="120" w:after="120"/>
      </w:pPr>
      <w:r/>
      <w:r/>
    </w:p>
    <w:p>
      <w:pPr>
        <w:pStyle w:val="1430"/>
        <w:numPr>
          <w:ilvl w:val="0"/>
          <w:numId w:val="7"/>
        </w:numPr>
        <w:contextualSpacing/>
        <w:ind w:left="0" w:right="-28" w:firstLine="567"/>
        <w:jc w:val="both"/>
        <w:keepLines/>
        <w:spacing w:before="120" w:after="120"/>
        <w:tabs>
          <w:tab w:val="left" w:pos="567" w:leader="none"/>
        </w:tabs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14740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417"/>
        <w:gridCol w:w="2126"/>
        <w:gridCol w:w="8362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404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40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40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 (V)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40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Максимальный выставляемый балл (без учета весового коэффициента)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8362" w:type="dxa"/>
            <w:vAlign w:val="center"/>
            <w:textDirection w:val="lrTb"/>
            <w:noWrap w:val="false"/>
          </w:tcPr>
          <w:p>
            <w:pPr>
              <w:pStyle w:val="1404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Порядок оценки по критерию, в том числе с указанием необходимых подтверждающих сведений и документов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404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404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04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«Цена договора»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40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70%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404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6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При оценке Заявок по критерию</w:t>
            </w:r>
            <w:r>
              <w:rPr>
                <w:b/>
              </w:rPr>
              <w:t xml:space="preserve"> «Цена договора»</w:t>
            </w:r>
            <w:r>
              <w:t xml:space="preserve"> лучшей признается Заявка с наименьшей </w:t>
            </w:r>
            <w:r>
              <w:rPr>
                <w:b/>
                <w:color w:val="000000" w:themeColor="text1"/>
              </w:rPr>
              <w:t xml:space="preserve">условной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ценой заявки.</w:t>
            </w:r>
            <w:r/>
          </w:p>
          <w:p>
            <w:pPr>
              <w:spacing w:after="0"/>
              <w:widowControl w:val="off"/>
            </w:pPr>
            <w:r>
              <w:t xml:space="preserve">Рейтинг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rPr>
                <w:vertAlign w:val="subscript"/>
              </w:rPr>
              <w:t xml:space="preserve"> </w:t>
            </w:r>
            <w:r>
              <w:t xml:space="preserve">определяется в баллах по следующей формуле: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/>
            <m:oMathPara>
              <m:oMathParaPr/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eastAsia="Cambria Math" w:cs="Cambria Math"/>
                      </w:rPr>
                      <m:rPr/>
                      <m:t>ЦБ</m:t>
                    </m:r>
                  </m:e>
                  <m:sub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sub>
                </m:sSub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</w:rPr>
                          <m:rPr/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</w:rPr>
                          <m:rPr>
                            <m:sty m:val="p"/>
                          </m:rPr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eastAsia="Cambria Math" w:cs="Cambria Math"/>
                      </w:rPr>
                      <m:rPr/>
                      <m:t>Цi</m:t>
                    </m:r>
                  </m:den>
                </m:f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 w:eastAsia="Cambria Math" w:cs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jc w:val="left"/>
              <w:spacing w:after="0"/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  <w:rPr>
                <w:i/>
              </w:rPr>
            </w:pPr>
            <w:r>
              <w:t xml:space="preserve">где:</w:t>
            </w:r>
            <w:r>
              <w:rPr>
                <w:i/>
              </w:rPr>
            </w:r>
          </w:p>
          <w:p>
            <w:pPr>
              <w:spacing w:after="0"/>
              <w:widowControl w:val="off"/>
              <w:rPr>
                <w:highlight w:val="yellow"/>
              </w:rPr>
            </w:pPr>
            <w:r>
              <w:rPr>
                <w:b/>
                <w:bCs/>
              </w:rPr>
              <w:t xml:space="preserve">ЦБ</w:t>
            </w:r>
            <w:r>
              <w:rPr>
                <w:b/>
                <w:bCs/>
                <w:vertAlign w:val="subscript"/>
                <w:lang w:val="en-US"/>
              </w:rPr>
              <w:t xml:space="preserve">i</w:t>
            </w:r>
            <w:r>
              <w:t xml:space="preserve"> – оценка (рейтинг) i-й заявки по критерию «Цена договора»;</w:t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i</w:t>
            </w:r>
            <w:r>
              <w:rPr>
                <w:b/>
                <w:color w:val="000000" w:themeColor="text1"/>
              </w:rPr>
              <w:t xml:space="preserve"> – условная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цена </w:t>
            </w:r>
            <w:r>
              <w:rPr>
                <w:lang w:val="en-US"/>
              </w:rPr>
              <w:t xml:space="preserve">i</w:t>
            </w:r>
            <w:r>
              <w:t xml:space="preserve">-го Участника закупки, (предложение) которого оценивается.</w:t>
            </w:r>
            <w:r/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min</w:t>
            </w:r>
            <w:r>
              <w:t xml:space="preserve"> – минимальная </w:t>
            </w: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из предложений, сделанных участниками закупки, заявки которых признаны соответствующими установленным отборочным требованиям.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предложений рассчитывается исходя из условного объема (условная единица), указанного в Коммерческом предложении (Приложение № 5 к настоящей документации), умноженного на предложение о коэффициенте понижения цены.</w:t>
            </w:r>
            <w:r/>
          </w:p>
          <w:p>
            <w:pPr>
              <w:spacing w:after="0"/>
              <w:widowControl w:val="off"/>
            </w:pPr>
            <w:r>
              <w:t xml:space="preserve">Полученное значение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pStyle w:val="1404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с победителем закупки заключается по начальной (максимальной) цене договора (лота), установленной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пункте </w:t>
            </w:r>
            <w:hyperlink w:tooltip="#_Сведения_о_начальной" w:anchor="_Сведения_о" w:history="1">
              <w:r>
                <w:rPr>
                  <w:rStyle w:val="1337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7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включением в договор коэффициента тендерного снижения (предлагаемой скидки) от расчетов стоимости выполняемых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1404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404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  <w:lang w:eastAsia="en-US"/>
              </w:rPr>
              <w:t xml:space="preserve">Критерий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</w:rPr>
            </w:r>
          </w:p>
          <w:p>
            <w:pPr>
              <w:pStyle w:val="1404"/>
              <w:ind w:firstLine="0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  <w:t xml:space="preserve">«Опыт исполнения аналогичных договоров»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404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1404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62" w:type="dxa"/>
            <w:vMerge w:val="restart"/>
            <w:textDirection w:val="lrTb"/>
            <w:noWrap w:val="false"/>
          </w:tcPr>
          <w:p>
            <w:pPr>
              <w:ind w:left="13"/>
              <w:spacing w:before="14" w:after="14"/>
              <w:widowControl w:val="off"/>
            </w:pPr>
            <w:r>
              <w:t xml:space="preserve">Расчет рейтинга заявки по критерию «</w:t>
            </w:r>
            <w:r>
              <w:rPr>
                <w:b/>
              </w:rPr>
              <w:t xml:space="preserve">Опыт исполнения аналогичных договоров»</w:t>
            </w:r>
            <w:r>
              <w:t xml:space="preserve"> оценивается в баллах по формуле: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/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oi</m:t>
                    </m:r>
                  </m:sub>
                </m:sSub>
                <m:r>
                  <w:rPr>
                    <w:rFonts w:ascii="Cambria Math" w:hAnsi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m:rPr>
                            <m:nor m:val="on"/>
                          </m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где: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b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оi</m:t>
                  </m:r>
                </m:sub>
              </m:sSub>
            </m:oMath>
            <w:r>
              <w:rPr>
                <w:b/>
                <w:bCs/>
              </w:rPr>
              <w:t xml:space="preserve"> </w:t>
            </w:r>
            <w:r>
              <w:t xml:space="preserve">– баллы, присуждаемые i-ой Заявке Участника по указанному критерию (без учета весового коэффициента);</w:t>
            </w:r>
            <w:r/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</w:rPr>
              <w:t xml:space="preserve">Оi</w:t>
            </w:r>
            <w:r>
              <w:t xml:space="preserve"> – опыт </w:t>
            </w:r>
            <w:r>
              <w:rPr>
                <w:highlight w:val="white"/>
              </w:rPr>
              <w:t xml:space="preserve">исполнения аналогичных договоров i-участником закупки (в ценовом выражении, без учета НДС). При этом, если величина опыта исполнения аналогичных договоров </w:t>
            </w:r>
            <w:r>
              <w:rPr>
                <w:highlight w:val="white"/>
                <w:lang w:val="en-US"/>
              </w:rPr>
              <w:t xml:space="preserve">i</w:t>
            </w:r>
            <w:r>
              <w:rPr>
                <w:highlight w:val="white"/>
              </w:rPr>
              <w:t xml:space="preserve">-участником закупки (в ценовом выражении) более чем в 10 (десять) раз превышает размер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37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, то рейтинг заявки этого участника по данному критерию равен 100 баллам.</w:t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О</w:t>
            </w:r>
            <w:r>
              <w:rPr>
                <w:b/>
                <w:bCs/>
                <w:highlight w:val="white"/>
                <w:vertAlign w:val="subscript"/>
                <w:lang w:val="en-US"/>
              </w:rPr>
              <w:t xml:space="preserve">max</w:t>
            </w:r>
            <w:r>
              <w:rPr>
                <w:highlight w:val="white"/>
              </w:rPr>
              <w:t xml:space="preserve"> – максимальное значение опыта исполнения аналогичных договоров (в ценовом выражении, без учета НДС) среди участников закупки, заявки которых признаны соответствующими установленным </w:t>
            </w:r>
            <w:r>
              <w:rPr>
                <w:highlight w:val="white"/>
              </w:rPr>
              <w:t xml:space="preserve">отборочным требованиям. При этом, если наибольшая величина опыта исполнения аналогичных договоров среди всех участников закупки (в ценовом выражении) более чем в 10 (десять) раз превышает размер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37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, O</w:t>
            </w:r>
            <w:r>
              <w:rPr>
                <w:highlight w:val="white"/>
                <w:vertAlign w:val="subscript"/>
              </w:rPr>
              <w:t xml:space="preserve">max</w:t>
            </w:r>
            <w:r>
              <w:rPr>
                <w:highlight w:val="white"/>
              </w:rPr>
              <w:t xml:space="preserve"> принимается равным величине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37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 увеличенной в 10 (десять) раз.</w:t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Расчетный период –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pStyle w:val="1404"/>
              <w:ind w:left="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Аналогичными договорами являются договоры на: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04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04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проектированию объектов электросетевого хозяйства напряжением от 0,4 кВ до 15 кВ, мощностью от 1 до 150 кВт;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04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left="13"/>
              <w:spacing w:before="14" w:after="14"/>
              <w:widowControl w:val="off"/>
              <w:tabs>
                <w:tab w:val="left" w:pos="361" w:leader="none"/>
              </w:tabs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единой информационной системы в сфере з</w:t>
            </w:r>
            <w:r>
              <w:t xml:space="preserve">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предусмотрена), либо в актах выполненных работ. </w:t>
            </w:r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</w:pPr>
            <w:r>
              <w:rPr>
                <w:b/>
                <w:bCs/>
              </w:rPr>
              <w:t xml:space="preserve">Подтверждающие документы</w:t>
            </w:r>
            <w:r>
              <w:t xml:space="preserve">:</w:t>
            </w:r>
            <w:r/>
          </w:p>
          <w:p>
            <w:pPr>
              <w:pStyle w:val="1388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Спра_7" w:anchor="_ФОРМА_СПРА_6" w:history="1">
              <w:r>
                <w:rPr>
                  <w:rStyle w:val="1337"/>
                  <w:lang w:eastAsia="en-US"/>
                </w:rPr>
                <w:t xml:space="preserve">СПРАВКА О ПЕРЕЧНЕ И ОБЪЕМАХ ВЫПОЛНЕНИЯ АНАЛОГИЧНЫХ ДОГОВОРОВ ЗА 3 (ТРИ) ПОСЛЕДНИХ ГОДА</w:t>
              </w:r>
            </w:hyperlink>
            <w:r>
              <w:t xml:space="preserve"> </w:t>
            </w:r>
            <w:r>
              <w:rPr>
                <w:rStyle w:val="1337"/>
                <w:color w:val="000000" w:themeColor="text1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t xml:space="preserve">часть </w:t>
            </w:r>
            <w:hyperlink w:tooltip="#_III._ОБРАЗ" w:anchor="_III._ОБРАЗ" w:history="1">
              <w:r>
                <w:rPr>
                  <w:rStyle w:val="1337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37"/>
                <w:color w:val="000000" w:themeColor="text1"/>
                <w:u w:val="none"/>
                <w:lang w:eastAsia="en-US"/>
              </w:rPr>
              <w:t xml:space="preserve">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</w:p>
          <w:p>
            <w:pPr>
              <w:pStyle w:val="1388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</w:pPr>
            <w:r>
              <w:t xml:space="preserve">копии исполненных аналогичных договоров, включающих все </w:t>
            </w:r>
            <w:r>
              <w:t xml:space="preserve">приложения к таким договорам, все дополнительные соглашения к ним;</w:t>
            </w:r>
            <w:r/>
          </w:p>
          <w:p>
            <w:pPr>
              <w:pStyle w:val="1388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>
              <w:t xml:space="preserve">копия последней «Справки о стоимости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lang w:eastAsia="en-US"/>
              </w:rPr>
            </w:r>
          </w:p>
          <w:p>
            <w:pPr>
              <w:ind w:left="13"/>
              <w:spacing w:after="0"/>
              <w:rPr>
                <w:b/>
                <w:color w:val="1f497d"/>
              </w:rPr>
            </w:pPr>
            <w:r>
              <w:rPr>
                <w:b/>
              </w:rPr>
              <w:t xml:space="preserve">или </w:t>
            </w:r>
            <w:r>
              <w:rPr>
                <w:b/>
                <w:color w:val="1f497d"/>
              </w:rPr>
            </w:r>
          </w:p>
          <w:p>
            <w:pPr>
              <w:pStyle w:val="1388"/>
              <w:numPr>
                <w:ilvl w:val="0"/>
                <w:numId w:val="42"/>
              </w:numPr>
              <w:ind w:left="0" w:firstLine="992"/>
            </w:pPr>
            <w:r>
              <w:t xml:space="preserve">копии «Актов о приемке выполненных работ» (форма КС-2 или иная форма в соответствии с условиями договора), содержащих все обязательные реквизиты, установленные частью 2 статьи 9 Федерального закона «О бухгалтерском учете» от 06.12.2011 № 402-ФЗ.</w:t>
            </w:r>
            <w:r/>
          </w:p>
          <w:p>
            <w:pPr>
              <w:pStyle w:val="1404"/>
              <w:ind w:left="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13"/>
              <w:spacing w:after="0"/>
              <w:widowControl w:val="off"/>
            </w:pPr>
            <w: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информации, заявке такого участника, по данному критерию, присваивается </w:t>
            </w:r>
            <w:r>
              <w:rPr>
                <w:b/>
              </w:rPr>
              <w:t xml:space="preserve">0 баллов</w:t>
            </w:r>
            <w:r>
              <w:t xml:space="preserve">.</w:t>
            </w:r>
            <w:r/>
          </w:p>
        </w:tc>
      </w:tr>
    </w:tbl>
    <w:p>
      <w:pPr>
        <w:jc w:val="left"/>
        <w:spacing w:after="0"/>
      </w:pPr>
      <w:r/>
      <w:r/>
    </w:p>
    <w:p>
      <w:pPr>
        <w:pStyle w:val="1430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b/>
          <w:bCs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= (R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x 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)</w:t>
      </w:r>
      <w:r>
        <w:rPr>
          <w:rFonts w:eastAsia="Calibri"/>
          <w:sz w:val="28"/>
          <w:szCs w:val="28"/>
          <w:lang w:val="en-US"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где:</w:t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 xml:space="preserve">Ri </w:t>
      </w:r>
      <w:r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- общий рейтинг предпочтительности i-й заявки;</w:t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 </w:t>
      </w:r>
      <w:r>
        <w:rPr>
          <w:rFonts w:eastAsia="Calibri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1 </w:t>
      </w:r>
      <w:r>
        <w:rPr>
          <w:rFonts w:eastAsia="Calibri"/>
          <w:lang w:eastAsia="en-US"/>
        </w:rPr>
        <w:t xml:space="preserve">- оценка в баллах по неценовому критерию №1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bCs/>
          <w:i/>
          <w:lang w:eastAsia="en-US"/>
        </w:rPr>
      </w:pPr>
      <w:r>
        <w:rPr>
          <w:rFonts w:eastAsia="Arial Unicode MS"/>
        </w:rPr>
        <w:t xml:space="preserve">V</w:t>
      </w:r>
      <w:r>
        <w:rPr>
          <w:rFonts w:eastAsia="Arial Unicode MS"/>
          <w:lang w:val="en-US"/>
        </w:rPr>
        <w:t xml:space="preserve">s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1</w:t>
      </w:r>
      <w:r>
        <w:rPr>
          <w:rFonts w:eastAsia="Arial Unicode MS"/>
        </w:rPr>
        <w:t xml:space="preserve"> – весовые коэффициенты соответствующих критериев</w:t>
      </w:r>
      <w:r>
        <w:rPr>
          <w:rFonts w:eastAsia="Calibri"/>
        </w:rPr>
        <w:t xml:space="preserve">.</w:t>
      </w:r>
      <w:r>
        <w:rPr>
          <w:rFonts w:eastAsia="Calibri"/>
          <w:bCs/>
          <w:i/>
          <w:lang w:eastAsia="en-US"/>
        </w:rPr>
      </w:r>
    </w:p>
    <w:p>
      <w:pPr>
        <w:pStyle w:val="1430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закупки.</w:t>
      </w:r>
      <w:r>
        <w:rPr>
          <w:rFonts w:eastAsia="Calibri"/>
          <w:lang w:eastAsia="en-US"/>
        </w:rPr>
      </w:r>
    </w:p>
    <w:p>
      <w:pPr>
        <w:pStyle w:val="1430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Наивысшее место в итоговом рейтинге (ранжировке) с учетом весовых коэффициентов значимости получает Заявка, имеющая максимальный общий рейтинг предпочтительности Заявки (Ri).</w:t>
      </w:r>
      <w:r>
        <w:rPr>
          <w:rFonts w:eastAsia="Calibri"/>
          <w:lang w:eastAsia="en-US"/>
        </w:rPr>
      </w:r>
    </w:p>
    <w:p>
      <w:pPr>
        <w:pStyle w:val="1430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  <w:r>
        <w:rPr>
          <w:rFonts w:eastAsia="Calibri"/>
          <w:lang w:eastAsia="en-US"/>
        </w:rPr>
      </w:r>
    </w:p>
    <w:p>
      <w:pPr>
        <w:pStyle w:val="1430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eastAsia="Calibri"/>
          <w:lang w:eastAsia="en-US"/>
        </w:rPr>
      </w:r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19"/>
        <w:ind w:left="0"/>
        <w:jc w:val="right"/>
      </w:pPr>
      <w:r/>
      <w:bookmarkStart w:id="156" w:name="_Приложение_1"/>
      <w:r/>
      <w:bookmarkStart w:id="157" w:name="_Приложение_№_2"/>
      <w:r/>
      <w:bookmarkEnd w:id="156"/>
      <w:r/>
      <w:bookmarkEnd w:id="157"/>
      <w:r>
        <w:rPr>
          <w:rFonts w:ascii="Times New Roman" w:hAnsi="Times New Roman" w:cs="Times New Roman"/>
        </w:rPr>
        <w:t xml:space="preserve">Приложение № 2 к части II «ИНФОРМАЦИОННАЯ КАРТА ЗАКУПКИ»</w:t>
      </w:r>
      <w:r>
        <w:t xml:space="preserve"> </w:t>
      </w:r>
      <w:r/>
    </w:p>
    <w:p>
      <w:pPr>
        <w:widowControl w:val="off"/>
      </w:pPr>
      <w:r/>
      <w:r/>
    </w:p>
    <w:p>
      <w:pPr>
        <w:ind w:firstLine="567"/>
        <w:widowControl w:val="off"/>
      </w:pPr>
      <w:r>
        <w:t xml:space="preserve">Сведения о начальной (максимальной) цене единицы товара, работы, услуги:</w:t>
      </w:r>
      <w:r/>
    </w:p>
    <w:p>
      <w:pPr>
        <w:widowControl w:val="off"/>
      </w:pPr>
      <w:r/>
      <w:r/>
    </w:p>
    <w:tbl>
      <w:tblPr>
        <w:tblpPr w:horzAnchor="text" w:tblpXSpec="left" w:vertAnchor="text" w:tblpY="1" w:leftFromText="180" w:topFromText="0" w:rightFromText="180" w:bottomFromText="0"/>
        <w:tblW w:w="4973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4121"/>
        <w:gridCol w:w="1413"/>
        <w:gridCol w:w="1669"/>
        <w:gridCol w:w="1666"/>
      </w:tblGrid>
      <w:tr>
        <w:tblPrEx/>
        <w:trPr>
          <w:trHeight w:val="271"/>
          <w:tblHeader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vMerge w:val="restart"/>
            <w:textDirection w:val="lrTb"/>
            <w:noWrap w:val="false"/>
          </w:tcPr>
          <w:p>
            <w:pPr>
              <w:widowControl w:val="off"/>
            </w:pPr>
            <w:r>
              <w:t xml:space="preserve">№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vMerge w:val="restart"/>
            <w:textDirection w:val="lrTb"/>
            <w:noWrap w:val="false"/>
          </w:tcPr>
          <w:p>
            <w:pPr>
              <w:widowControl w:val="off"/>
            </w:pPr>
            <w:r>
              <w:t xml:space="preserve">Наименование товара, работы, услуги 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Ед. изм.</w:t>
            </w:r>
            <w:r/>
          </w:p>
        </w:tc>
        <w:tc>
          <w:tcPr>
            <w:gridSpan w:val="2"/>
            <w:tcMar>
              <w:left w:w="56" w:type="dxa"/>
              <w:top w:w="28" w:type="dxa"/>
              <w:right w:w="56" w:type="dxa"/>
              <w:bottom w:w="28" w:type="dxa"/>
            </w:tcMar>
            <w:tcW w:w="1794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Цена за единицу</w:t>
            </w:r>
            <w:r/>
          </w:p>
        </w:tc>
      </w:tr>
      <w:tr>
        <w:tblPrEx/>
        <w:trPr>
          <w:trHeight w:val="271"/>
          <w:tblHeader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руб. без НДС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руб. с НДС</w:t>
            </w:r>
            <w:r/>
          </w:p>
        </w:tc>
      </w:tr>
      <w:tr>
        <w:tblPrEx/>
        <w:trPr>
          <w:trHeight w:val="529"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textDirection w:val="lrTb"/>
            <w:noWrap w:val="false"/>
          </w:tcPr>
          <w:p>
            <w:r>
              <w:rPr>
                <w:lang w:eastAsia="en-US"/>
              </w:rPr>
              <w:t xml:space="preserve">В</w:t>
            </w:r>
            <w:r>
              <w:rPr>
                <w:highlight w:val="white"/>
                <w:lang w:eastAsia="en-US"/>
              </w:rPr>
              <w:t xml:space="preserve">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1.1.16р)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усл. ед.</w:t>
            </w:r>
            <w:r/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50 000 000,00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61 000 000,00</w:t>
            </w:r>
            <w:r/>
          </w:p>
        </w:tc>
      </w:tr>
      <w:tr>
        <w:tblPrEx/>
        <w:trPr>
          <w:trHeight w:val="529"/>
        </w:trPr>
        <w:tc>
          <w:tcPr>
            <w:gridSpan w:val="3"/>
            <w:tcMar>
              <w:left w:w="56" w:type="dxa"/>
              <w:top w:w="28" w:type="dxa"/>
              <w:right w:w="56" w:type="dxa"/>
              <w:bottom w:w="28" w:type="dxa"/>
            </w:tcMar>
            <w:tcW w:w="5967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Итого:</w:t>
            </w:r>
            <w:r>
              <w:rPr>
                <w:b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50 000 000,00</w:t>
            </w:r>
            <w:r>
              <w:rPr>
                <w:b/>
              </w:rPr>
            </w:r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61 000 000,00</w:t>
            </w:r>
            <w:r>
              <w:rPr>
                <w:b/>
              </w:rPr>
            </w:r>
          </w:p>
        </w:tc>
      </w:tr>
    </w:tbl>
    <w:p>
      <w:pPr>
        <w:widowControl w:val="off"/>
      </w:pPr>
      <w:r/>
      <w:r/>
    </w:p>
    <w:p>
      <w:pPr>
        <w:ind w:firstLine="567"/>
        <w:widowControl w:val="off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t xml:space="preserve">Сведения о начальной (максимальной) цене единицы товара, работы, услуги указаны в части </w:t>
      </w:r>
      <w:hyperlink w:tooltip="#_ОБОСНОВАНИЕ_НМЦ" w:anchor="_ОБОСНОВАНИЕ_НМЦ" w:history="1">
        <w:r>
          <w:rPr>
            <w:rStyle w:val="1337"/>
          </w:rPr>
          <w:t xml:space="preserve">VI «ОБОСНОВАНИЕ НАЧАЛЬНОЙ (МАКСИМАЛЬНОЙ) ЦЕНЫ ДОГОВОРА»</w:t>
        </w:r>
      </w:hyperlink>
      <w:r>
        <w:t xml:space="preserve"> настоящей документации о закупке.</w:t>
      </w:r>
      <w:r/>
    </w:p>
    <w:p>
      <w:pPr>
        <w:pStyle w:val="1117"/>
        <w:numPr>
          <w:ilvl w:val="0"/>
          <w:numId w:val="4"/>
        </w:numPr>
        <w:ind w:left="0" w:firstLine="567"/>
        <w:pageBreakBefore/>
        <w:spacing w:before="0" w:after="0"/>
        <w:rPr>
          <w:rStyle w:val="12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58" w:name="_III._ОБРАЗ"/>
      <w:r/>
      <w:bookmarkStart w:id="159" w:name="_РАЗДЕЛ_I_4_ОБРАЗЦЫ_ФОРМ_И_ДОКУМЕНТО"/>
      <w:r/>
      <w:bookmarkStart w:id="160" w:name="_ОБРАЗЦЫ_ФОРМ_ДЛЯ"/>
      <w:r/>
      <w:bookmarkStart w:id="161" w:name="_Ref119427310"/>
      <w:r/>
      <w:bookmarkStart w:id="162" w:name="_Ref166101288"/>
      <w:r/>
      <w:bookmarkStart w:id="163" w:name="_Ref166101291"/>
      <w:r/>
      <w:bookmarkStart w:id="164" w:name="_Ref166158276"/>
      <w:r/>
      <w:bookmarkStart w:id="165" w:name="_Ref166158279"/>
      <w:r/>
      <w:bookmarkStart w:id="166" w:name="_Ref166329210"/>
      <w:r/>
      <w:bookmarkStart w:id="167" w:name="_Ref166329212"/>
      <w:r/>
      <w:bookmarkStart w:id="168" w:name="_Ref166329217"/>
      <w:r/>
      <w:bookmarkStart w:id="169" w:name="_Toc46"/>
      <w:r/>
      <w:bookmarkEnd w:id="158"/>
      <w:r/>
      <w:bookmarkEnd w:id="159"/>
      <w:r/>
      <w:bookmarkEnd w:id="160"/>
      <w:r>
        <w:rPr>
          <w:rStyle w:val="1288"/>
          <w:rFonts w:ascii="Times New Roman" w:hAnsi="Times New Roman" w:cs="Times New Roman"/>
          <w:color w:val="auto"/>
          <w:sz w:val="28"/>
          <w:szCs w:val="28"/>
        </w:rPr>
        <w:t xml:space="preserve">ОБРАЗЦЫ ФОРМ ДЛЯ ЗАПОЛНЕНИЯ УЧАСТНИКАМИ ЗАКУПКИ</w:t>
      </w:r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/>
      <w:r>
        <w:rPr>
          <w:rStyle w:val="12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pStyle w:val="1118"/>
        <w:ind w:left="0" w:firstLine="0"/>
        <w:tabs>
          <w:tab w:val="clear" w:pos="576" w:leader="none"/>
        </w:tabs>
        <w:rPr>
          <w:color w:val="000000" w:themeColor="text1"/>
          <w:sz w:val="24"/>
          <w:szCs w:val="24"/>
        </w:rPr>
      </w:pPr>
      <w:r/>
      <w:bookmarkStart w:id="170" w:name="_Toc47"/>
      <w:r>
        <w:rPr>
          <w:color w:val="000000" w:themeColor="text1"/>
          <w:sz w:val="24"/>
          <w:szCs w:val="24"/>
        </w:rPr>
        <w:t xml:space="preserve">ФОРМА ТЕХНИЧЕСКОЕ ПРЕДЛОЖЕНИЕ</w:t>
      </w:r>
      <w:bookmarkEnd w:id="170"/>
      <w:r/>
      <w:r>
        <w:rPr>
          <w:color w:val="000000" w:themeColor="text1"/>
          <w:sz w:val="24"/>
          <w:szCs w:val="24"/>
        </w:rPr>
      </w:r>
    </w:p>
    <w:p>
      <w:r/>
      <w:r/>
    </w:p>
    <w:p>
      <w:pPr>
        <w:jc w:val="center"/>
        <w:spacing w:after="0"/>
        <w:rPr>
          <w:b/>
        </w:rPr>
      </w:pPr>
      <w:r>
        <w:rPr>
          <w:b/>
        </w:rPr>
        <w:t xml:space="preserve">Предложение участника в отношении предмета закупки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</w:p>
    <w:p>
      <w:r>
        <w:rPr>
          <w:b/>
        </w:rPr>
        <w:t xml:space="preserve"> 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t xml:space="preserve">Наименование закупки _______________________________________ Лот № _______</w:t>
      </w:r>
      <w:r/>
    </w:p>
    <w:p>
      <w:pPr>
        <w:ind w:firstLine="567"/>
        <w:spacing w:after="0"/>
      </w:pPr>
      <w:r>
        <w:t xml:space="preserve">Номер извещения о проведении закупки в ЕИС: _______________________________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rPr>
          <w:bCs/>
        </w:rPr>
        <w:t xml:space="preserve">Настоящим выражаем свое согласие на выполнение работ в полном соответствии с документацией о закупке, в том числе в соответствии с требованиями разделов «ТЕХНИЧЕСКАЯ ЧАСТЬ» и «ПРОЕКТ ДОГОВОРА» документации о закупке.  </w:t>
      </w:r>
      <w:r/>
    </w:p>
    <w:p>
      <w:pPr>
        <w:ind w:firstLine="567"/>
        <w:spacing w:after="0"/>
      </w:pPr>
      <w:r/>
      <w:r/>
    </w:p>
    <w:p>
      <w:pPr>
        <w:ind w:firstLine="567"/>
        <w:spacing w:before="120"/>
        <w:rPr>
          <w:color w:val="0000cc"/>
        </w:rPr>
      </w:pPr>
      <w:r>
        <w:rPr>
          <w:color w:val="0000cc"/>
        </w:rPr>
        <w:t xml:space="preserve">Приложение: Техническое предложение на выполнение работ в редактируемом формате на ____ л.</w:t>
      </w:r>
      <w:r>
        <w:rPr>
          <w:color w:val="0000cc"/>
        </w:rPr>
      </w:r>
    </w:p>
    <w:p>
      <w:pPr>
        <w:jc w:val="left"/>
        <w:spacing w:after="0"/>
      </w:pPr>
      <w:r/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rPr>
          <w:b/>
          <w:bCs/>
        </w:rPr>
      </w:pPr>
      <w:r>
        <w:rPr>
          <w:b/>
        </w:rPr>
        <w:t xml:space="preserve">Инструкции по заполнению:</w:t>
      </w:r>
      <w:r>
        <w:rPr>
          <w:b/>
          <w:bCs/>
        </w:rPr>
      </w:r>
    </w:p>
    <w:p>
      <w:pPr>
        <w:pStyle w:val="1430"/>
        <w:numPr>
          <w:ilvl w:val="0"/>
          <w:numId w:val="43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color w:val="000000" w:themeColor="text1"/>
        </w:rPr>
      </w:r>
    </w:p>
    <w:p>
      <w:pPr>
        <w:pStyle w:val="1430"/>
        <w:numPr>
          <w:ilvl w:val="0"/>
          <w:numId w:val="43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color w:val="000000" w:themeColor="text1"/>
        </w:rPr>
      </w:r>
    </w:p>
    <w:p>
      <w:pPr>
        <w:pStyle w:val="1430"/>
        <w:numPr>
          <w:ilvl w:val="0"/>
          <w:numId w:val="43"/>
        </w:numPr>
        <w:ind w:left="0" w:firstLine="709"/>
        <w:jc w:val="both"/>
      </w:pPr>
      <w:r>
        <w:t xml:space="preserve">В техническом предложении на выполнение работ Участником закупки выражается </w:t>
      </w:r>
      <w:r>
        <w:rPr>
          <w:bCs/>
        </w:rPr>
        <w:t xml:space="preserve">согласие на выполнение работ в полном соответствии с документацией о закупке, в том числе в соотв</w:t>
      </w:r>
      <w:r>
        <w:rPr>
          <w:bCs/>
        </w:rPr>
        <w:t xml:space="preserve">етствии с требованиями «ТЕХНИЧЕСКОЙ ЧАСТИ» и «ПРОЕКТА ДОГОВОРА» документации о закупке. В случае, если участник предлагает какие-либо изменения либо дополнения относительно требований, изложенных в «ТЕХНИЧЕСКОЙ ЧАСТИ» и «ПРОЕКТЕ ДОГОВОРА», участник должен </w:t>
      </w:r>
      <w:r>
        <w:t xml:space="preserve">подробно и развернуто указать об этом в техническом предложении. В последнем случае в техническом предложении указывается фраза: «</w:t>
      </w:r>
      <w:r>
        <w:rPr>
          <w:bCs/>
        </w:rPr>
        <w:t xml:space="preserve">Настоящим выражаем свое согласие на выполнение работ в соответствии с документацией о закупке, в том числе в соответствии с требованиями «ТЕХНИЧЕСКОЙ ЧАСТИ» и «ПРОЕКТА ДОГОВОРА» документации о закупке с учетом следующих предложений: … (далее </w:t>
      </w:r>
      <w:r>
        <w:t xml:space="preserve">подробно и развернуто указываются предложения</w:t>
      </w:r>
      <w:r>
        <w:rPr>
          <w:bCs/>
        </w:rPr>
        <w:t xml:space="preserve">)</w:t>
      </w:r>
      <w:r>
        <w:t xml:space="preserve">.</w:t>
      </w:r>
      <w:r/>
    </w:p>
    <w:p>
      <w:pPr>
        <w:pStyle w:val="1430"/>
        <w:numPr>
          <w:ilvl w:val="0"/>
          <w:numId w:val="43"/>
        </w:numPr>
        <w:ind w:left="0" w:firstLine="709"/>
        <w:jc w:val="both"/>
      </w:pPr>
      <w:r>
        <w:t xml:space="preserve">Техническое предложение на выполнение работ и поставок будет служить основой для подготовки соот</w:t>
      </w:r>
      <w:r>
        <w:t xml:space="preserve">ветствующего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  <w:r/>
    </w:p>
    <w:p>
      <w:pPr>
        <w:pStyle w:val="1430"/>
        <w:numPr>
          <w:ilvl w:val="0"/>
          <w:numId w:val="43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pStyle w:val="1430"/>
        <w:numPr>
          <w:ilvl w:val="0"/>
          <w:numId w:val="43"/>
        </w:numPr>
        <w:ind w:left="0" w:firstLine="709"/>
        <w:jc w:val="both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18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71" w:name="_Toc48"/>
      <w:r>
        <w:rPr>
          <w:sz w:val="24"/>
          <w:szCs w:val="24"/>
        </w:rPr>
        <w:t xml:space="preserve">ФОРМА ПИСЬМО О ПОДАЧЕ ОФЕРТЫ</w:t>
      </w:r>
      <w:bookmarkEnd w:id="171"/>
      <w:r/>
      <w:r>
        <w:rPr>
          <w:sz w:val="24"/>
          <w:szCs w:val="24"/>
        </w:rPr>
      </w:r>
    </w:p>
    <w:p>
      <w:pPr>
        <w:jc w:val="center"/>
      </w:pPr>
      <w:r>
        <w:t xml:space="preserve"> (</w:t>
      </w:r>
      <w:r>
        <w:rPr>
          <w:i/>
        </w:rPr>
        <w:t xml:space="preserve">документ изготавливается на фирменном бланке организации участника закупки (для участников юридических лиц</w:t>
      </w:r>
      <w:r>
        <w:t xml:space="preserve">)</w:t>
      </w:r>
      <w:r/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lef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</w:rPr>
      </w:pPr>
      <w:r>
        <w:rPr>
          <w:b/>
        </w:rPr>
        <w:t xml:space="preserve">Письмо о подаче оферты</w:t>
      </w:r>
      <w:r>
        <w:rPr>
          <w:b/>
        </w:rPr>
      </w:r>
    </w:p>
    <w:p>
      <w:pPr>
        <w:ind w:right="-1"/>
        <w:spacing w:after="0"/>
        <w:tabs>
          <w:tab w:val="left" w:pos="9355" w:leader="none"/>
        </w:tabs>
      </w:pPr>
      <w:r>
        <w:t xml:space="preserve">«_____»___________ 202_ г.                                                                                  №__________</w:t>
      </w:r>
      <w:r/>
    </w:p>
    <w:p>
      <w:pPr>
        <w:jc w:val="left"/>
      </w:pPr>
      <w:r/>
      <w:r/>
    </w:p>
    <w:p>
      <w:pPr>
        <w:jc w:val="center"/>
      </w:pPr>
      <w:r>
        <w:rPr>
          <w:iCs/>
        </w:rPr>
        <w:t xml:space="preserve">Уважаемые господа!</w:t>
      </w:r>
      <w:r/>
    </w:p>
    <w:p>
      <w:pPr>
        <w:ind w:firstLine="567"/>
        <w:spacing w:before="120"/>
        <w:rPr>
          <w:iCs/>
        </w:rPr>
      </w:pPr>
      <w:r>
        <w:rPr>
          <w:iCs/>
        </w:rPr>
        <w:t xml:space="preserve">Изучив извещение и документацию о закупке (включая все изменения и разъяснения к ней), размещенные в единой информационной системе в сфере закупок по адресу в сети Интернет «www.zakupki.gov.ru» (далее – ЕИС, Официальн</w:t>
      </w:r>
      <w:r>
        <w:rPr>
          <w:iCs/>
        </w:rPr>
        <w:t xml:space="preserve">ый сайт) от «___» __________ 202_ года (извещение №_____________), и безоговорочно принимая установленные в них требования и условия участия в закупке, в том числе в отношении технического задания, проекта договора, условия о подсудности разрешения споров </w:t>
      </w:r>
      <w:r>
        <w:rPr>
          <w:iCs/>
        </w:rPr>
        <w:t xml:space="preserve">по договору, порядка заключения договора, заключаемого по итогам закупки, мы, являясь участником процедуры закупки / [или]лидером коллективного участника [выбрать необходимое], предлагаем заключить Договор на: ______________________________________________</w:t>
      </w:r>
      <w:r>
        <w:rPr>
          <w:bCs/>
          <w:i/>
          <w:spacing w:val="-6"/>
        </w:rPr>
        <w:t xml:space="preserve">[</w:t>
      </w:r>
      <w:r>
        <w:rPr>
          <w:bCs/>
          <w:i/>
        </w:rPr>
        <w:t xml:space="preserve">указывается предмет договора в соответствии с пунктом 3 части II «ИНФОРМАЦИОННАЯ КАРТА ЗАКУПКИ»</w:t>
      </w:r>
      <w:r>
        <w:rPr>
          <w:bCs/>
          <w:i/>
          <w:spacing w:val="-6"/>
        </w:rPr>
        <w:t xml:space="preserve">]</w:t>
      </w:r>
      <w:r>
        <w:rPr>
          <w:bCs/>
          <w:spacing w:val="-6"/>
        </w:rPr>
        <w:t xml:space="preserve">.</w:t>
      </w:r>
      <w:r>
        <w:rPr>
          <w:iCs/>
        </w:rPr>
      </w:r>
    </w:p>
    <w:p>
      <w:pPr>
        <w:spacing w:after="0"/>
        <w:rPr>
          <w:bCs/>
          <w:i/>
          <w:spacing w:val="-6"/>
        </w:rPr>
      </w:pPr>
      <w:r>
        <w:rPr>
          <w:bCs/>
          <w:i/>
          <w:spacing w:val="-6"/>
        </w:rPr>
      </w:r>
      <w:r>
        <w:rPr>
          <w:bCs/>
          <w:i/>
          <w:spacing w:val="-6"/>
        </w:rPr>
      </w:r>
    </w:p>
    <w:p>
      <w:pPr>
        <w:ind w:firstLine="567"/>
        <w:spacing w:before="120" w:after="0"/>
        <w:rPr>
          <w:b/>
        </w:rPr>
      </w:pPr>
      <w:r>
        <w:rPr>
          <w:b/>
        </w:rPr>
        <w:t xml:space="preserve">Настоящая заявка имеет правовой статус оферты и действует в течение 90 (девяносто) календарных дней со дня, следующего за днем окончания подачи заявок.</w:t>
      </w:r>
      <w:r>
        <w:rPr>
          <w:b/>
        </w:rPr>
      </w:r>
    </w:p>
    <w:p>
      <w:pPr>
        <w:ind w:firstLine="567"/>
        <w:spacing w:before="120" w:after="0"/>
      </w:pPr>
      <w:r>
        <w:rPr>
          <w:iCs/>
        </w:rPr>
        <w:t xml:space="preserve">Данная заявка подается с пониманием того, что </w:t>
      </w:r>
      <w:r>
        <w:t xml:space="preserve">вы не отвечаете и не имеете обязательств по нашим расходам, связанным с подготовкой и подачей данной заявки за исключением случаев, прямо оговоренных в законодательстве.</w:t>
      </w:r>
      <w:r/>
    </w:p>
    <w:p>
      <w:pPr>
        <w:ind w:firstLine="567"/>
        <w:spacing w:after="0"/>
      </w:pPr>
      <w:r>
        <w:t xml:space="preserve">______________ (</w:t>
      </w:r>
      <w:r>
        <w:rPr>
          <w:i/>
        </w:rPr>
        <w:t xml:space="preserve">Наименование Участника закупки, при подаче заявки коллективным участником указывается Лидер и состав коллективного участника</w:t>
      </w:r>
      <w:r>
        <w:t xml:space="preserve">)</w:t>
      </w:r>
      <w:r>
        <w:rPr>
          <w:iCs/>
        </w:rPr>
        <w:t xml:space="preserve"> </w:t>
      </w:r>
      <w:r>
        <w:t xml:space="preserve">при подаче настоящей оферты принимает на себя следующие обязательства, связанные с подачей заявки: 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заключить Договор в установленном в документации о закупке порядке, в случае признания ____________________ (</w:t>
      </w:r>
      <w:r>
        <w:rPr>
          <w:i/>
        </w:rPr>
        <w:t xml:space="preserve">Наименование Участника закупки, при подаче заявки коллективным участником указывается Лидер и состав коллективного участника</w:t>
      </w:r>
      <w:r>
        <w:t xml:space="preserve">) Победителем, либо единственным Участником, соответствующим требованиям документации.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Мы подтверждаем свое согласие участв</w:t>
      </w:r>
      <w:r>
        <w:rPr>
          <w:iCs/>
        </w:rPr>
        <w:t xml:space="preserve">овать в вышеуказанной закупке на условиях, установленных документацией о закупке, регламентом ЭТП и Положением о закупке, а также выполнить работы на условиях проекта договора, представленного в составе документации о закупке, со всеми приложениями к нему.</w:t>
      </w:r>
      <w:r>
        <w:rPr>
          <w:iCs/>
        </w:rPr>
      </w:r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Настоящим подтверждаем, что в отношении </w:t>
      </w:r>
      <w:r>
        <w:t xml:space="preserve">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 не проводится процедура ликвидации, отсутствует решение арбитражного суда о признании несостоятельным (банкротом) </w:t>
      </w:r>
      <w:r>
        <w:t xml:space="preserve">или об открытии конкурсного производства</w:t>
      </w:r>
      <w:r>
        <w:rPr>
          <w:iCs/>
        </w:rPr>
        <w:t xml:space="preserve">, деятельность не приостановлена, а также, что размер </w:t>
      </w:r>
      <w:r>
        <w:rPr>
          <w:iCs/>
        </w:rPr>
        <w:t xml:space="preserve">задолженности по налогам, сборам и иным обязательным платежам в бюджеты </w:t>
      </w:r>
      <w:r>
        <w:t xml:space="preserve">бюджетной системы Российской Федерации</w:t>
      </w:r>
      <w:r>
        <w:rPr>
          <w:iCs/>
        </w:rPr>
        <w:t xml:space="preserve"> за прошедший календарный год не превышает 25% (двадцати пяти процентов) балансовой стоимости активов по данным бухгалтерской отчетности за последний завершенный отчетный период.</w:t>
      </w:r>
      <w:r>
        <w:rPr>
          <w:iCs/>
        </w:rPr>
      </w:r>
    </w:p>
    <w:p>
      <w:pPr>
        <w:ind w:firstLine="567"/>
        <w:spacing w:before="120" w:after="0"/>
      </w:pPr>
      <w:r>
        <w:t xml:space="preserve">Также подтверждаем отсутствие у 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у руководителя, членов коллегиального исполнительного органа или главного бухгалтера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ограничения или лишения дееспособности, неснятой или непогашенной судимости за преступления в сфере экономики, а</w:t>
      </w:r>
      <w:r>
        <w:t xml:space="preserve">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r/>
    </w:p>
    <w:p>
      <w:pPr>
        <w:ind w:firstLine="567"/>
        <w:spacing w:before="120" w:after="0"/>
      </w:pPr>
      <w:r>
        <w:t xml:space="preserve">В соответствии с обязательными требованиями к участникам закупки подтверждаем наличие у нас специальных допусков, разрешений, лицензий и прочих разрешительных документов в соответствии с законодательством для исполнения обязательств по предмету договора.</w:t>
      </w:r>
      <w:r/>
    </w:p>
    <w:p>
      <w:pPr>
        <w:ind w:firstLine="567"/>
        <w:spacing w:before="120" w:after="0"/>
      </w:pPr>
      <w:r>
        <w:t xml:space="preserve">В соответствии с дополнительными требованиями к участникам закупки подтверждаем отсутствие сведений обо мне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в реестре недобросовестных поставщиков (подрядчиков, исполнителей), предусмотренном Федеральным законом от 18.07.2011 № 223-ФЗ «О закупках товаров, работ, услуг отдельными видами юридических лиц»</w:t>
      </w:r>
      <w:r>
        <w:rPr>
          <w:iCs/>
        </w:rPr>
        <w:t xml:space="preserve"> и</w:t>
      </w:r>
      <w:r>
        <w:t xml:space="preserve"> в реестре недобросовестных поставщиков, предусмотренном Федеральным законом от 05.04.2013 N 44-ФЗ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>
        <w:t xml:space="preserve">с единственным участником конкурентной закупки </w:t>
      </w:r>
      <w:r>
        <w:rPr>
          <w:iCs/>
        </w:rPr>
        <w:t xml:space="preserve">мы берем на себя обязательства подписать со своей стороны договор в соответствии с требованиями документации о закупке и условиями нашей заявки.</w:t>
      </w:r>
      <w:r>
        <w:rPr>
          <w:iCs/>
        </w:rPr>
      </w:r>
    </w:p>
    <w:p>
      <w:pPr>
        <w:ind w:firstLine="567"/>
        <w:spacing w:before="120"/>
        <w:rPr>
          <w:iCs/>
        </w:rPr>
      </w:pPr>
      <w:r>
        <w:rPr>
          <w:iCs/>
        </w:rPr>
        <w:t xml:space="preserve">В случае если на</w:t>
      </w:r>
      <w:r>
        <w:rPr>
          <w:iCs/>
        </w:rPr>
        <w:t xml:space="preserve">шей заявке будет присвоен второй номер, а победитель закупки будет отстранен либо признан уклонившимся от заключения договора с заказчиком, мы обязуемся подписать данный договор в соответствии с требованиями документации о закупке и условиями нашей заявки.</w:t>
      </w:r>
      <w:r>
        <w:rPr>
          <w:iCs/>
        </w:rPr>
      </w:r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крупной сделки в связи с заключением договора на условиях нашей заявки не требуется.</w:t>
      </w:r>
      <w:r>
        <w:rPr>
          <w:rStyle w:val="1320"/>
        </w:rPr>
        <w:footnoteReference w:id="18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сделки с заинтересованностью в связи с заключением договора на условиях нашей заявки не требуется.</w:t>
      </w:r>
      <w:r>
        <w:rPr>
          <w:rStyle w:val="1320"/>
        </w:rPr>
        <w:footnoteReference w:id="19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</w:t>
      </w:r>
      <w:r>
        <w:rPr>
          <w:iCs/>
        </w:rPr>
        <w:t xml:space="preserve">тельными документами, указаниями собственника, иных органов управления подтверждает соблюдение порядка совершения сделки, в том числе получения предварительного согласия (одобрения, согласования) сделки и соблюдения всех требуемых корпоративных требований.</w:t>
      </w:r>
      <w:r>
        <w:rPr>
          <w:rStyle w:val="1320"/>
          <w:iCs/>
        </w:rPr>
        <w:footnoteReference w:id="20"/>
      </w:r>
      <w:r/>
    </w:p>
    <w:p>
      <w:pPr>
        <w:ind w:firstLine="567"/>
        <w:spacing w:before="120" w:after="0"/>
        <w:rPr>
          <w:iCs/>
        </w:rPr>
      </w:pPr>
      <w:r>
        <w:t xml:space="preserve">Настоящей заявкой гарантируем достоверность представленной нами информации и подтверждаем право Организатора закупки (Заказчика), </w:t>
      </w:r>
      <w:r>
        <w:t xml:space="preserve">не противоречащее требованию о формировании равных для всех Участников закупки условий, запрашивать у нас, в уполномоченных органах власти и в упомянутых в нашей заявке юридических и физических лиц информацию, уточняющую представленные нами в ней сведения.</w:t>
      </w:r>
      <w:r>
        <w:rPr>
          <w:iCs/>
        </w:rPr>
      </w:r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firstLine="567"/>
        <w:jc w:val="left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pStyle w:val="1430"/>
        <w:numPr>
          <w:ilvl w:val="0"/>
          <w:numId w:val="45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30"/>
        <w:numPr>
          <w:ilvl w:val="0"/>
          <w:numId w:val="45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30"/>
        <w:numPr>
          <w:ilvl w:val="0"/>
          <w:numId w:val="45"/>
        </w:numPr>
        <w:ind w:left="0" w:firstLine="709"/>
        <w:jc w:val="both"/>
      </w:pPr>
      <w: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430"/>
        <w:numPr>
          <w:ilvl w:val="0"/>
          <w:numId w:val="45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430"/>
        <w:numPr>
          <w:ilvl w:val="0"/>
          <w:numId w:val="45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  <w:br w:type="page" w:clear="all"/>
      </w:r>
      <w:r/>
    </w:p>
    <w:p>
      <w:pPr>
        <w:pStyle w:val="1118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72" w:name="_Toc49"/>
      <w:r>
        <w:rPr>
          <w:sz w:val="24"/>
          <w:szCs w:val="24"/>
        </w:rPr>
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</w:r>
      <w:bookmarkEnd w:id="172"/>
      <w:r/>
      <w:r>
        <w:rPr>
          <w:sz w:val="24"/>
          <w:szCs w:val="24"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</w:rPr>
        <w:t xml:space="preserve">План распределения объемов выполнения работ/оказания услуг между членами коллективного участника (консорциума, простого товарищества)</w:t>
      </w:r>
      <w:r>
        <w:rPr>
          <w:b/>
          <w:bCs/>
        </w:rPr>
      </w:r>
    </w:p>
    <w:p>
      <w:pPr>
        <w:ind w:left="-142"/>
        <w:spacing w:after="0"/>
      </w:pPr>
      <w:r/>
      <w:r/>
    </w:p>
    <w:p>
      <w:pPr>
        <w:ind w:left="-142"/>
        <w:spacing w:after="0"/>
      </w:pPr>
      <w:r/>
      <w:r/>
    </w:p>
    <w:p>
      <w:pPr>
        <w:spacing w:after="0"/>
      </w:pPr>
      <w:r>
        <w:t xml:space="preserve">Наименование закупки __________________________________ Лот № _________________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 (Лидера коллективного участника): _________________</w:t>
      </w:r>
      <w:r/>
    </w:p>
    <w:p>
      <w:pPr>
        <w:spacing w:after="0"/>
      </w:pPr>
      <w:r>
        <w:t xml:space="preserve">Юридический адрес участника закупки (Лидера коллективного участника): 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(№1)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(№2)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(№Х)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after="0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45"/>
        <w:gridCol w:w="1760"/>
        <w:gridCol w:w="1985"/>
        <w:gridCol w:w="3402"/>
        <w:gridCol w:w="1556"/>
      </w:tblGrid>
      <w:tr>
        <w:tblPrEx/>
        <w:trPr>
          <w:trHeight w:val="1988"/>
        </w:trPr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17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17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</w:t>
            </w:r>
            <w:r>
              <w:rPr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17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организации, выполняющий данный объем работ</w:t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17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работ и поставок в % от общей стоимости работ</w:t>
            </w:r>
            <w:r>
              <w:rPr>
                <w:sz w:val="22"/>
                <w:szCs w:val="22"/>
              </w:rPr>
            </w:r>
          </w:p>
          <w:p>
            <w:pPr>
              <w:pStyle w:val="141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(выражается исключительно в процентах от общей стоимости работ предлагаемой участником в ценовом предложении)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17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выполнения (начало и окончание)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19"/>
              <w:numPr>
                <w:ilvl w:val="0"/>
                <w:numId w:val="46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19"/>
              <w:numPr>
                <w:ilvl w:val="0"/>
                <w:numId w:val="46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19"/>
              <w:ind w:left="0"/>
            </w:pPr>
            <w:r>
              <w:t xml:space="preserve">…</w:t>
            </w:r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Лидеру коллективного Участника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1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2</w:t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19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pStyle w:val="1419"/>
              <w:jc w:val="center"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19"/>
              <w:jc w:val="center"/>
              <w:rPr>
                <w:b/>
              </w:rPr>
            </w:pPr>
            <w:r>
              <w:rPr>
                <w:b/>
              </w:rPr>
              <w:t xml:space="preserve">100%</w:t>
            </w:r>
            <w:r>
              <w:rPr>
                <w:b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19"/>
              <w:jc w:val="center"/>
              <w:rPr>
                <w:b/>
              </w:rPr>
            </w:pPr>
            <w:r>
              <w:rPr>
                <w:b/>
              </w:rPr>
              <w:t xml:space="preserve">Х</w:t>
            </w:r>
            <w:r>
              <w:rPr>
                <w:b/>
              </w:rPr>
            </w:r>
          </w:p>
        </w:tc>
      </w:tr>
    </w:tbl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</w:p>
    <w:p>
      <w:pPr>
        <w:ind w:right="4111"/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pStyle w:val="1430"/>
        <w:numPr>
          <w:ilvl w:val="0"/>
          <w:numId w:val="47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30"/>
        <w:numPr>
          <w:ilvl w:val="0"/>
          <w:numId w:val="47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30"/>
        <w:numPr>
          <w:ilvl w:val="0"/>
          <w:numId w:val="47"/>
        </w:numPr>
        <w:ind w:left="0" w:firstLine="709"/>
        <w:jc w:val="both"/>
      </w:pPr>
      <w:r>
        <w:t xml:space="preserve">Учас</w:t>
      </w:r>
      <w:r>
        <w:t xml:space="preserve">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 Лидера коллективного участника.</w:t>
      </w:r>
      <w:r/>
    </w:p>
    <w:p>
      <w:pPr>
        <w:pStyle w:val="1430"/>
        <w:numPr>
          <w:ilvl w:val="0"/>
          <w:numId w:val="47"/>
        </w:numPr>
        <w:ind w:left="0" w:firstLine="709"/>
        <w:jc w:val="both"/>
      </w:pPr>
      <w:r>
        <w:t xml:space="preserve">Учас</w:t>
      </w:r>
      <w:r>
        <w:t xml:space="preserve">тник закупки приводит наименования юридических лиц и адреса мест нахождения, либо фамилии, имена, отчества, паспортные данные, адреса прописки (адреса регистрации) физических лиц, в том числе индивидуальных предпринимателей, членов коллективного участника.</w:t>
      </w:r>
      <w:r/>
    </w:p>
    <w:p>
      <w:pPr>
        <w:pStyle w:val="1430"/>
        <w:numPr>
          <w:ilvl w:val="0"/>
          <w:numId w:val="47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430"/>
        <w:numPr>
          <w:ilvl w:val="0"/>
          <w:numId w:val="47"/>
        </w:numPr>
        <w:ind w:left="0" w:firstLine="709"/>
        <w:jc w:val="both"/>
      </w:pPr>
      <w:r>
        <w:rPr>
          <w:b/>
        </w:rPr>
        <w:t xml:space="preserve">Данная форма заполняется и предоставляется в случае участия коллективных участников</w:t>
      </w:r>
      <w:r>
        <w:t xml:space="preserve">.</w:t>
      </w:r>
      <w:r/>
    </w:p>
    <w:p>
      <w:pPr>
        <w:pStyle w:val="1430"/>
        <w:ind w:left="426"/>
        <w:jc w:val="both"/>
        <w:rPr>
          <w:b/>
        </w:rPr>
      </w:pPr>
      <w:r>
        <w:rPr>
          <w:b/>
        </w:rPr>
      </w:r>
      <w:r>
        <w:rPr>
          <w:b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1118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73" w:name="_Toc50"/>
      <w:r>
        <w:rPr>
          <w:sz w:val="24"/>
          <w:szCs w:val="24"/>
        </w:rPr>
        <w:t xml:space="preserve">ФОРМА АНКЕТА УЧАСТНИКА ЗАКУПКИ</w:t>
      </w:r>
      <w:bookmarkEnd w:id="173"/>
      <w:r/>
      <w:r>
        <w:rPr>
          <w:sz w:val="24"/>
          <w:szCs w:val="24"/>
        </w:rPr>
      </w:r>
    </w:p>
    <w:p>
      <w:pPr>
        <w:jc w:val="left"/>
        <w:spacing w:after="0"/>
      </w:pPr>
      <w:r/>
      <w:r/>
    </w:p>
    <w:p>
      <w:pPr>
        <w:jc w:val="center"/>
        <w:spacing w:after="0"/>
      </w:pPr>
      <w:r>
        <w:rPr>
          <w:b/>
          <w:iCs/>
        </w:rPr>
        <w:t xml:space="preserve">АНКЕТА УЧАСТНИКА</w:t>
      </w:r>
      <w:r/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720"/>
        <w:gridCol w:w="5730"/>
        <w:gridCol w:w="2898"/>
      </w:tblGrid>
      <w:tr>
        <w:tblPrEx/>
        <w:trPr>
          <w:cantSplit/>
          <w:trHeight w:val="240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№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Фирменное 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Организационно - правовая форма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6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Виды деятельности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ИНН 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КПП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среднесписочной численности (на последнюю отчетную дату)</w:t>
            </w:r>
            <w:r>
              <w:rPr>
                <w:vertAlign w:val="superscript"/>
              </w:rPr>
              <w:footnoteReference w:id="21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vertAlign w:val="superscript"/>
              </w:rPr>
              <w:footnoteReference w:id="22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vertAlign w:val="superscript"/>
              </w:rPr>
              <w:footnoteReference w:id="23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vertAlign w:val="superscript"/>
              </w:rPr>
              <w:footnoteReference w:id="24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Юридический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Почтовый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Фактическое местоположение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16.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Телефоны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  <w:trHeight w:val="116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Адрес электронной почты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pStyle w:val="1430"/>
        <w:numPr>
          <w:ilvl w:val="0"/>
          <w:numId w:val="48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30"/>
        <w:numPr>
          <w:ilvl w:val="0"/>
          <w:numId w:val="48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30"/>
        <w:numPr>
          <w:ilvl w:val="0"/>
          <w:numId w:val="48"/>
        </w:numPr>
        <w:ind w:left="0" w:firstLine="709"/>
        <w:jc w:val="both"/>
      </w:pPr>
      <w: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430"/>
        <w:numPr>
          <w:ilvl w:val="0"/>
          <w:numId w:val="48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430"/>
        <w:numPr>
          <w:ilvl w:val="0"/>
          <w:numId w:val="48"/>
        </w:numPr>
        <w:ind w:left="0" w:firstLine="709"/>
        <w:jc w:val="both"/>
      </w:pPr>
      <w:r>
        <w:t xml:space="preserve">Участник закупки должен заполнить приведенную выше первую таблицу по всем позициям. В случае отсутствия каких-либо данных указать слово «нет данных».</w:t>
      </w:r>
      <w:r/>
    </w:p>
    <w:p>
      <w:pPr>
        <w:pStyle w:val="1430"/>
        <w:numPr>
          <w:ilvl w:val="0"/>
          <w:numId w:val="48"/>
        </w:numPr>
        <w:ind w:left="0" w:firstLine="709"/>
        <w:jc w:val="both"/>
      </w:pPr>
      <w:r>
        <w:t xml:space="preserve">В №п/п 21 «Банковские реквизиты…» указываются реквизиты, которые будут использованы при заключении Договора.</w:t>
      </w:r>
      <w:r/>
    </w:p>
    <w:p>
      <w:pPr>
        <w:pStyle w:val="1430"/>
        <w:numPr>
          <w:ilvl w:val="0"/>
          <w:numId w:val="48"/>
        </w:numPr>
        <w:ind w:left="0" w:firstLine="709"/>
        <w:jc w:val="both"/>
      </w:pPr>
      <w:r>
        <w:t xml:space="preserve">Графа 12 «Сведения о наличии в штате сотрудн</w:t>
      </w:r>
      <w:r>
        <w:t xml:space="preserve">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>
        <w:rPr>
          <w:b/>
        </w:rPr>
        <w:t xml:space="preserve">Перечнем публичных должностных лиц</w:t>
      </w:r>
      <w:r>
        <w:t xml:space="preserve">.</w:t>
      </w:r>
      <w:r/>
    </w:p>
    <w:p>
      <w:pPr>
        <w:pStyle w:val="1430"/>
        <w:numPr>
          <w:ilvl w:val="0"/>
          <w:numId w:val="48"/>
        </w:numPr>
        <w:ind w:left="0" w:firstLine="709"/>
        <w:jc w:val="both"/>
      </w:pPr>
      <w:r>
        <w:t xml:space="preserve">информация по вопросам 1, 2, 3 и 4 заполняется в соответствии с требованиями, указанными непосредственно в данных вопросах.</w:t>
      </w:r>
      <w:r/>
    </w:p>
    <w:p>
      <w:pPr>
        <w:pStyle w:val="1430"/>
        <w:numPr>
          <w:ilvl w:val="0"/>
          <w:numId w:val="48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sz w:val="21"/>
          <w:szCs w:val="21"/>
        </w:rPr>
        <w:t xml:space="preserve">Приложение к Анкете Участника закупки</w:t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jc w:val="center"/>
        <w:spacing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Перечень публичных должностных лиц</w:t>
      </w:r>
      <w:r>
        <w:rPr>
          <w:b/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Конвенцией</w:t>
        </w:r>
      </w:hyperlink>
      <w:r>
        <w:rPr>
          <w:sz w:val="21"/>
          <w:szCs w:val="21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Российская Федерация ратифицировала </w:t>
      </w:r>
      <w:hyperlink r:id="rId55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Конвенцию</w:t>
        </w:r>
      </w:hyperlink>
      <w:r>
        <w:rPr>
          <w:sz w:val="21"/>
          <w:szCs w:val="21"/>
        </w:rPr>
        <w:t xml:space="preserve"> ООН против коррупции в 2006 году (8 марта 2006 года принят Федеральный </w:t>
      </w:r>
      <w:hyperlink r:id="rId56" w:tooltip="consultantplus://offline/ref=B7E04B8F5BC345C22463EADCAE81D93CF4CA1215A36F6052F6BC85F6f9C8L" w:history="1">
        <w:r>
          <w:rPr>
            <w:sz w:val="21"/>
            <w:szCs w:val="21"/>
          </w:rPr>
          <w:t xml:space="preserve">закон</w:t>
        </w:r>
      </w:hyperlink>
      <w:r>
        <w:rPr>
          <w:sz w:val="21"/>
          <w:szCs w:val="21"/>
        </w:rPr>
        <w:t xml:space="preserve"> № 40-ФЗ «О ратификации Конвенции Организации Объединенных Наций против коррупции»).</w:t>
      </w:r>
      <w:r>
        <w:rPr>
          <w:sz w:val="21"/>
          <w:szCs w:val="21"/>
        </w:rPr>
      </w:r>
    </w:p>
    <w:p>
      <w:pPr>
        <w:ind w:firstLine="539"/>
        <w:spacing w:after="0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В соответствии со ст.12 Конвенции одной из мер по предупреждению коррупции является в том числе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  <w:r>
        <w:rPr>
          <w:rFonts w:eastAsia="Calibri"/>
          <w:sz w:val="21"/>
          <w:szCs w:val="21"/>
          <w:lang w:eastAsia="en-US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1. ПУБЛИЧНОЕ ДОЛЖНОСТНОЕ ЛИЦО (ПДЛ)</w:t>
      </w:r>
      <w:r>
        <w:rPr>
          <w:sz w:val="21"/>
          <w:szCs w:val="21"/>
        </w:rPr>
        <w:t xml:space="preserve"> – физическое лицо, вне зависимости от его гражданства, отн</w:t>
      </w:r>
      <w:r>
        <w:rPr>
          <w:sz w:val="21"/>
          <w:szCs w:val="21"/>
        </w:rPr>
        <w:t xml:space="preserve">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</w:t>
      </w:r>
      <w:r>
        <w:rPr>
          <w:sz w:val="21"/>
          <w:szCs w:val="21"/>
        </w:rPr>
        <w:t xml:space="preserve">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</w:t>
      </w:r>
      <w:r>
        <w:rPr>
          <w:sz w:val="21"/>
          <w:szCs w:val="21"/>
        </w:rPr>
        <w:t xml:space="preserve">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2.</w:t>
      </w:r>
      <w:r>
        <w:rPr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ИНОСТРАННОЕ ПУБЛИЧНОЕ ДОЛЖНОСТНОЕ ЛИЦО (ИПДЛ)</w:t>
      </w:r>
      <w:r>
        <w:rPr>
          <w:sz w:val="21"/>
          <w:szCs w:val="21"/>
        </w:rPr>
        <w:t xml:space="preserve"> – физическое лицо, вне зависимос</w:t>
      </w:r>
      <w:r>
        <w:rPr>
          <w:sz w:val="21"/>
          <w:szCs w:val="21"/>
        </w:rPr>
        <w:t xml:space="preserve">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</w:t>
      </w:r>
      <w:r>
        <w:rPr>
          <w:sz w:val="21"/>
          <w:szCs w:val="21"/>
        </w:rPr>
        <w:t xml:space="preserve">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</w:t>
      </w:r>
      <w:r>
        <w:rPr>
          <w:sz w:val="21"/>
          <w:szCs w:val="21"/>
        </w:rPr>
        <w:t xml:space="preserve">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</w:t>
      </w:r>
      <w:r>
        <w:rPr>
          <w:sz w:val="21"/>
          <w:szCs w:val="21"/>
        </w:rPr>
        <w:t xml:space="preserve">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</w:t>
      </w:r>
      <w:r>
        <w:rPr>
          <w:sz w:val="21"/>
          <w:szCs w:val="21"/>
        </w:rPr>
        <w:t xml:space="preserve">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</w:t>
      </w:r>
      <w:r>
        <w:rPr>
          <w:sz w:val="21"/>
          <w:szCs w:val="21"/>
        </w:rPr>
        <w:t xml:space="preserve">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3. РОССИЙСКИЕ ПУБЛИЧНЫЕ ДОЛЖНОСТНЫЕ ЛИЦА (РПДЛ)</w:t>
      </w:r>
      <w:r>
        <w:rPr>
          <w:sz w:val="21"/>
          <w:szCs w:val="21"/>
        </w:rPr>
        <w:t xml:space="preserve"> – физи</w:t>
      </w:r>
      <w:r>
        <w:rPr>
          <w:sz w:val="21"/>
          <w:szCs w:val="21"/>
        </w:rPr>
        <w:t xml:space="preserve">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</w:t>
      </w:r>
      <w:r>
        <w:rPr>
          <w:sz w:val="21"/>
          <w:szCs w:val="21"/>
        </w:rPr>
        <w:t xml:space="preserve">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Президент Российской Федерации; Председатель Правительства Российской Федерации; Первый заместитель Председателя Правительства Российской Федераци</w:t>
      </w:r>
      <w:r>
        <w:rPr>
          <w:sz w:val="21"/>
          <w:szCs w:val="21"/>
        </w:rPr>
        <w:t xml:space="preserve">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</w:t>
      </w:r>
      <w:r>
        <w:rPr>
          <w:sz w:val="21"/>
          <w:szCs w:val="21"/>
        </w:rPr>
        <w:t xml:space="preserve">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</w:t>
      </w:r>
      <w:r>
        <w:rPr>
          <w:sz w:val="21"/>
          <w:szCs w:val="21"/>
        </w:rPr>
        <w:t xml:space="preserve">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</w:t>
      </w:r>
      <w:r>
        <w:rPr>
          <w:sz w:val="21"/>
          <w:szCs w:val="21"/>
        </w:rPr>
        <w:t xml:space="preserve">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</w:t>
      </w:r>
      <w:r>
        <w:rPr>
          <w:sz w:val="21"/>
          <w:szCs w:val="21"/>
        </w:rPr>
        <w:t xml:space="preserve">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</w:t>
      </w:r>
      <w:r>
        <w:rPr>
          <w:sz w:val="21"/>
          <w:szCs w:val="21"/>
        </w:rPr>
        <w:t xml:space="preserve">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</w:t>
      </w:r>
      <w:r>
        <w:rPr>
          <w:sz w:val="21"/>
          <w:szCs w:val="21"/>
        </w:rPr>
        <w:t xml:space="preserve">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</w:t>
      </w:r>
      <w:r>
        <w:rPr>
          <w:sz w:val="21"/>
          <w:szCs w:val="21"/>
        </w:rPr>
        <w:t xml:space="preserve">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</w:t>
      </w:r>
      <w:r>
        <w:rPr>
          <w:sz w:val="21"/>
          <w:szCs w:val="21"/>
        </w:rPr>
        <w:t xml:space="preserve">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</w:t>
      </w:r>
      <w:r>
        <w:rPr>
          <w:sz w:val="21"/>
          <w:szCs w:val="21"/>
        </w:rPr>
        <w:t xml:space="preserve">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</w:t>
      </w:r>
      <w:r>
        <w:rPr>
          <w:sz w:val="21"/>
          <w:szCs w:val="21"/>
        </w:rPr>
        <w:t xml:space="preserve">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4. МЕЖДУНАРОДНОЕ ПУБЛИЧНОЕ ДОЛЖНОСТНОЕ ЛИЦО (МПДЛ</w:t>
      </w:r>
      <w:r>
        <w:rPr>
          <w:sz w:val="21"/>
          <w:szCs w:val="21"/>
        </w:rPr>
        <w:t xml:space="preserve"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5. ЛИЦО, СВЯЗАННОЕ С ПДЛ</w:t>
      </w:r>
      <w:r>
        <w:rPr>
          <w:sz w:val="21"/>
          <w:szCs w:val="21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</w:t>
      </w:r>
      <w:r>
        <w:rPr>
          <w:sz w:val="21"/>
          <w:szCs w:val="21"/>
        </w:rPr>
        <w:t xml:space="preserve">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6. МЕЖДУНАРОДНЫЕ ОРГАНИЗАЦИИ</w:t>
      </w:r>
      <w:r>
        <w:rPr>
          <w:sz w:val="21"/>
          <w:szCs w:val="21"/>
        </w:rPr>
        <w:t xml:space="preserve"> – организации, созданные официальными политическими соглашениями между их странами 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</w:t>
      </w:r>
      <w:r>
        <w:rPr>
          <w:sz w:val="21"/>
          <w:szCs w:val="21"/>
        </w:rPr>
        <w:t xml:space="preserve">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</w:t>
      </w:r>
      <w:r>
        <w:rPr>
          <w:sz w:val="21"/>
          <w:szCs w:val="21"/>
        </w:rPr>
        <w:t xml:space="preserve">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r>
        <w:rPr>
          <w:sz w:val="21"/>
          <w:szCs w:val="21"/>
        </w:rPr>
      </w:r>
    </w:p>
    <w:p>
      <w:pPr>
        <w:ind w:firstLine="540"/>
        <w:tabs>
          <w:tab w:val="left" w:pos="1080" w:leader="none"/>
        </w:tabs>
        <w:rPr>
          <w:b/>
          <w:bCs/>
        </w:rPr>
        <w:sectPr>
          <w:footnotePr/>
          <w:endnotePr/>
          <w:type w:val="nextPage"/>
          <w:pgSz w:w="11909" w:h="16834" w:orient="portrait"/>
          <w:pgMar w:top="1134" w:right="850" w:bottom="1134" w:left="1701" w:header="709" w:footer="709" w:gutter="0"/>
          <w:cols w:num="1" w:sep="0" w:space="6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</w:p>
    <w:p>
      <w:pPr>
        <w:pStyle w:val="1118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4" w:name="_Toc51"/>
      <w:r>
        <w:rPr>
          <w:sz w:val="24"/>
          <w:szCs w:val="24"/>
        </w:rPr>
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</w:r>
      <w:bookmarkEnd w:id="174"/>
      <w:r/>
      <w:r>
        <w:rPr>
          <w:sz w:val="24"/>
          <w:szCs w:val="24"/>
        </w:rPr>
      </w:r>
    </w:p>
    <w:p>
      <w:pPr>
        <w:jc w:val="center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spacing w:after="0"/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 или Организатора закупки</w:t>
      </w:r>
      <w:r/>
    </w:p>
    <w:p>
      <w:pPr>
        <w:jc w:val="center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</w:p>
    <w:p>
      <w:pPr>
        <w:jc w:val="center"/>
      </w:pPr>
      <w:r/>
      <w:r/>
    </w:p>
    <w:p>
      <w:pPr>
        <w:jc w:val="center"/>
      </w:pPr>
      <w:r>
        <w:t xml:space="preserve">Уважаемые господа!</w:t>
      </w:r>
      <w:r/>
    </w:p>
    <w:p>
      <w:pPr>
        <w:ind w:firstLine="567"/>
      </w:pPr>
      <w:r>
        <w:rPr>
          <w:bCs/>
        </w:rPr>
        <w:t xml:space="preserve">При рассмотрении нашей заявки просим учесть следующие сведения о наличии у _______________________________________ </w:t>
      </w:r>
      <w:r>
        <w:rPr>
          <w:b/>
          <w:bCs/>
          <w:i/>
        </w:rPr>
        <w:t xml:space="preserve">(указывается полное наименование Участника закупки)</w:t>
      </w:r>
      <w:r>
        <w:rPr>
          <w:bCs/>
          <w:i/>
        </w:rPr>
        <w:t xml:space="preserve"> </w:t>
      </w:r>
      <w:r>
        <w:rPr>
          <w:bCs/>
        </w:rPr>
        <w:t xml:space="preserve">конфликта интересов и/или связей, </w:t>
      </w:r>
      <w:r>
        <w:rPr>
          <w:b/>
          <w:bCs/>
          <w:i/>
        </w:rPr>
        <w:t xml:space="preserve">носящих характер аффилированности с лицом, являющимся ______________________</w:t>
      </w:r>
      <w:r>
        <w:rPr>
          <w:i/>
          <w:iCs/>
        </w:rPr>
        <w:t xml:space="preserve"> (</w:t>
      </w:r>
      <w:r>
        <w:rPr>
          <w:b/>
          <w:i/>
          <w:iCs/>
        </w:rPr>
        <w:t xml:space="preserve">указывается кем являются эти лица, пример: учредители, сотрудники, и т.д.</w:t>
      </w:r>
      <w:r>
        <w:rPr>
          <w:b/>
          <w:bCs/>
          <w:i/>
        </w:rPr>
        <w:t xml:space="preserve">) </w:t>
      </w:r>
      <w:r>
        <w:rPr>
          <w:bCs/>
        </w:rPr>
        <w:t xml:space="preserve">Заказчика </w:t>
      </w:r>
      <w:r>
        <w:rPr>
          <w:b/>
          <w:bCs/>
          <w:i/>
        </w:rPr>
        <w:t xml:space="preserve">и/или Организатора закупки</w:t>
      </w:r>
      <w:r>
        <w:rPr>
          <w:bCs/>
        </w:rPr>
        <w:t xml:space="preserve">, а именно - </w:t>
      </w:r>
      <w:r>
        <w:rPr>
          <w:b/>
          <w:bCs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аффилированность)</w:t>
      </w:r>
      <w:r>
        <w:rPr>
          <w:bCs/>
        </w:rPr>
        <w:t xml:space="preserve">.</w:t>
      </w:r>
      <w:r/>
    </w:p>
    <w:p>
      <w:pPr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4"/>
        <w:gridCol w:w="791"/>
        <w:gridCol w:w="4822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24"/>
        <w:spacing w:after="0"/>
        <w:tabs>
          <w:tab w:val="left" w:pos="4820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numPr>
          <w:ilvl w:val="0"/>
          <w:numId w:val="49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Форма составляется на фирменном бланке Участника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</w:t>
      </w:r>
      <w:r>
        <w:t xml:space="preserve">ется фраза «При рассмотрении нашей заявки просим учесть, что у {указывается наименование Участника закупки} НЕТ связей, которые могут быть признаны носящими характер аффилированности с лицами так или иначе связанными с Заказчиком или Организатором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При на</w:t>
      </w:r>
      <w: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numPr>
          <w:ilvl w:val="0"/>
          <w:numId w:val="49"/>
        </w:numPr>
        <w:ind w:left="0" w:firstLine="709"/>
        <w:spacing w:after="0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18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5" w:name="_Toc52"/>
      <w:r>
        <w:rPr>
          <w:sz w:val="24"/>
          <w:szCs w:val="24"/>
        </w:rPr>
        <w:t xml:space="preserve">ФОРМА СПРАВКА (ИНФОРМАЦИЯ) О СОБСТВЕННИКАХ УЧАСТНИКА ЗАКУПКИ (ВКЛЮЧАЯ КОНЕЧНЫХ БЕНЕФИЦИАРОВ)</w:t>
      </w:r>
      <w:bookmarkEnd w:id="175"/>
      <w:r/>
      <w:r>
        <w:rPr>
          <w:sz w:val="24"/>
          <w:szCs w:val="24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Справка (информация) о собственниках Участника закупки (включая конечных бенефициаров)*</w:t>
      </w:r>
      <w:r>
        <w:rPr>
          <w:b/>
          <w:lang w:eastAsia="en-US"/>
        </w:rPr>
      </w:r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</w:pPr>
      <w:r>
        <w:t xml:space="preserve">Юридический адрес (место нахождения) участника закупки: __________________________</w:t>
      </w:r>
      <w:r/>
    </w:p>
    <w:p>
      <w:pPr>
        <w:spacing w:after="0"/>
      </w:pPr>
      <w:r/>
      <w:r/>
    </w:p>
    <w:tbl>
      <w:tblPr>
        <w:tblW w:w="153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73"/>
        <w:gridCol w:w="567"/>
        <w:gridCol w:w="1134"/>
        <w:gridCol w:w="850"/>
        <w:gridCol w:w="1134"/>
        <w:gridCol w:w="1418"/>
        <w:gridCol w:w="567"/>
        <w:gridCol w:w="567"/>
        <w:gridCol w:w="708"/>
        <w:gridCol w:w="1134"/>
        <w:gridCol w:w="987"/>
        <w:gridCol w:w="1418"/>
        <w:gridCol w:w="1134"/>
        <w:gridCol w:w="1276"/>
        <w:gridCol w:w="1275"/>
      </w:tblGrid>
      <w:tr>
        <w:tblPrEx/>
        <w:trPr>
          <w:jc w:val="center"/>
          <w:trHeight w:val="86"/>
        </w:trPr>
        <w:tc>
          <w:tcPr>
            <w:shd w:val="clear" w:color="000000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56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49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ind w:left="-113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Данные инструкции не следует воспроизводить в документах, подготовленных Участником закупки.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В случае, если одним или несколькими участниками / учредителями / акционерами контрагента являются юридические </w:t>
      </w:r>
      <w:r>
        <w:t xml:space="preserve">лица, то в зависимости от организационно-правовой формы, необходимо раскрыть цепочку их участников/учредителей/акционеров до уровня конечных бенефициаров с соблюдением нумерации и представить копии подтверждающих документов для всей цепочки с их указанием.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* В отношении контрагентов являющихся зарубежными публи</w:t>
      </w:r>
      <w:r>
        <w:t xml:space="preserve">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</w:t>
      </w:r>
      <w:r>
        <w:t xml:space="preserve">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Разделы «ИНН» (№2) и «ОГРН» (№3) - указываются регистрационные данные Участника.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Разделы «ИНН» (№9) и «ОГРН» (№10) - указываются регистрационные данные собственников Участника.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«Наименование краткое» (</w:t>
      </w:r>
      <w:r>
        <w:t xml:space="preserve">№4) -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«Код ОКВЭД» (№5) - указывается код (основные коды) ОКВЭД.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«ФИО руководителя» (№6) - фамилия, отчество и имя указываются полностью.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руководителя» (№7) - паспортные данные указываются в формате: ХХХХХХХХХХ (10 знаков), то есть без слов «серия», «номер» и т.п.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** Раздел «№» (№8) – заполняется в следующем формате: 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1.1, 1.2. и т.д. – собственники участника (собственники первого уровня)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1.1.1, 1.1.2, 1.1.3 – собственники организации 1.1 (собственники организации второго уровня) и далее – по аналогичной схеме до конечного бенефициарного собственника (пример 1.1.3.1).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Каждый собственник указывается в отдельной строке Формы.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(выпиской из Единого государственного реестра</w:t>
      </w:r>
      <w:r>
        <w:t xml:space="preserve"> юридических лиц, выданной соответствующим подразделением Федеральной налоговой службы не ранее чем за 6 месяцев до срока окончания подачи Заявок, выпиской из реестра акционеров и т.п.); для физических лиц - фамилия, имя и отчество (указываются полностью).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«Адрес регистрации» (№12) – для юридических лиц указывается адрес регистрации собственника в соответс</w:t>
      </w:r>
      <w:r>
        <w:t xml:space="preserve">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Заявок; для физического лица - адрес регистрации физического лица.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«руководитель/участник/акционер/бенефициар» (№14) – указывается, кем является лицо или организация, отраженные в «Наименование/ФИО» (№11) - руководителем; участником </w:t>
      </w:r>
      <w:r>
        <w:t xml:space="preserve">(для собственников ООО); акционером (для собственников ЗАО, АО и ПАО);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  <w:r>
        <w:rPr>
          <w:b/>
        </w:rPr>
      </w:r>
    </w:p>
    <w:p>
      <w:pPr>
        <w:pStyle w:val="1430"/>
        <w:numPr>
          <w:ilvl w:val="0"/>
          <w:numId w:val="50"/>
        </w:numPr>
        <w:ind w:left="0" w:firstLine="709"/>
        <w:jc w:val="both"/>
      </w:pPr>
      <w:r>
        <w:t xml:space="preserve">***Раздел «Информация о подтверждающих документах (наименование, реквизиты и т.д.)» (№16) – указываются документы, на основании которых вносилис</w:t>
      </w:r>
      <w:r>
        <w:t xml:space="preserve">ь данные в разделы №№9-13, а также документ, подтверждающий статус участника(ов)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</w:t>
      </w:r>
      <w:r>
        <w:t xml:space="preserve">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  <w:r/>
    </w:p>
    <w:p>
      <w:pPr>
        <w:pStyle w:val="1430"/>
        <w:numPr>
          <w:ilvl w:val="0"/>
          <w:numId w:val="50"/>
        </w:numPr>
        <w:ind w:left="0" w:firstLine="709"/>
        <w:jc w:val="both"/>
        <w:rPr>
          <w:b/>
          <w:bCs/>
        </w:rPr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</w:r>
    </w:p>
    <w:p>
      <w:pPr>
        <w:jc w:val="left"/>
        <w:spacing w:after="160" w:line="259" w:lineRule="auto"/>
        <w:rPr>
          <w:b/>
        </w:rPr>
      </w:pPr>
      <w:r>
        <w:rPr>
          <w:b/>
        </w:rPr>
        <w:br w:type="page" w:clear="all"/>
      </w:r>
      <w:r>
        <w:rPr>
          <w:b/>
        </w:rPr>
      </w:r>
    </w:p>
    <w:p>
      <w:pPr>
        <w:jc w:val="right"/>
        <w:spacing w:after="160" w:line="259" w:lineRule="auto"/>
        <w:rPr>
          <w:b/>
        </w:rPr>
      </w:pPr>
      <w:r>
        <w:rPr>
          <w:b/>
        </w:rPr>
        <w:t xml:space="preserve">Приложение 1</w:t>
      </w:r>
      <w:r>
        <w:rPr>
          <w:b/>
        </w:rPr>
      </w:r>
    </w:p>
    <w:p>
      <w:pPr>
        <w:jc w:val="center"/>
        <w:rPr>
          <w:b/>
          <w:bCs/>
        </w:rPr>
      </w:pPr>
      <w:r>
        <w:rPr>
          <w:b/>
        </w:rPr>
        <w:t xml:space="preserve">Пример заполнения формы «Справка (информация) о собственниках участника закупки (включая конечных бенефициаров) (в том числе конечных)»</w:t>
      </w:r>
      <w:r>
        <w:rPr>
          <w:b/>
          <w:bCs/>
        </w:rPr>
      </w:r>
    </w:p>
    <w:p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ООО «Организация-пример»</w:t>
      </w:r>
      <w:r>
        <w:rPr>
          <w:b/>
          <w:color w:val="000000"/>
          <w:u w:val="single"/>
        </w:rPr>
      </w:r>
    </w:p>
    <w:p>
      <w:pPr>
        <w:jc w:val="center"/>
      </w:pPr>
      <w:r>
        <w:rPr>
          <w:i/>
          <w:color w:val="000000"/>
        </w:rPr>
        <w:t xml:space="preserve">(наименование организации)</w:t>
      </w:r>
      <w:r/>
    </w:p>
    <w:tbl>
      <w:tblPr>
        <w:tblW w:w="157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709"/>
        <w:gridCol w:w="1275"/>
        <w:gridCol w:w="709"/>
        <w:gridCol w:w="1134"/>
        <w:gridCol w:w="1418"/>
        <w:gridCol w:w="567"/>
        <w:gridCol w:w="992"/>
        <w:gridCol w:w="709"/>
        <w:gridCol w:w="1134"/>
        <w:gridCol w:w="1134"/>
        <w:gridCol w:w="1111"/>
        <w:gridCol w:w="1134"/>
        <w:gridCol w:w="1157"/>
        <w:gridCol w:w="1275"/>
      </w:tblGrid>
      <w:tr>
        <w:tblPrEx/>
        <w:trPr>
          <w:jc w:val="center"/>
          <w:trHeight w:val="331"/>
        </w:trPr>
        <w:tc>
          <w:tcPr>
            <w:shd w:val="clear" w:color="000000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79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60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64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426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113" w:right="-22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ind w:left="-137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16</w:t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7734567890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044567890123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45.хх.хх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4601 456789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7751212112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35%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111222333444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7777 888999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222333444555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6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8888 111222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70%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1. 2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7735345355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30%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6158585888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987654321123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Сидорчук Светлана Петровна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0125 145678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90%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775456123007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154568484</w:t>
            </w:r>
            <w:r>
              <w:rPr>
                <w:color w:val="000000"/>
                <w:sz w:val="14"/>
                <w:szCs w:val="16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25%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7778899111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4545 123456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3334455777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2323 145678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100%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Пример Лтд. (</w:t>
            </w:r>
            <w:r>
              <w:rPr>
                <w:color w:val="000000"/>
                <w:sz w:val="14"/>
                <w:szCs w:val="16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6"/>
              </w:rPr>
              <w:t xml:space="preserve">)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Кипр, Лимассол, 45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40%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color w:val="000000"/>
                <w:sz w:val="14"/>
                <w:szCs w:val="16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sz w:val="22"/>
          <w:szCs w:val="22"/>
        </w:rPr>
      </w:r>
    </w:p>
    <w:p>
      <w:pPr>
        <w:jc w:val="center"/>
        <w:tabs>
          <w:tab w:val="left" w:pos="1080" w:leader="none"/>
        </w:tabs>
        <w:rPr>
          <w:bCs/>
          <w:sz w:val="22"/>
          <w:szCs w:val="22"/>
        </w:rPr>
      </w:pPr>
      <w:r>
        <w:rPr>
          <w:sz w:val="20"/>
          <w:vertAlign w:val="subscript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697980" cy="4023360"/>
                <wp:effectExtent l="0" t="0" r="762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5173528" name="_x0000_i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57"/>
                        <a:stretch/>
                      </pic:blipFill>
                      <pic:spPr bwMode="auto">
                        <a:xfrm>
                          <a:off x="0" y="0"/>
                          <a:ext cx="6697980" cy="402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7.40pt;height:316.80pt;mso-wrap-distance-left:0.00pt;mso-wrap-distance-top:0.00pt;mso-wrap-distance-right:0.00pt;mso-wrap-distance-bottom:0.00pt;" stroked="f">
                <v:path textboxrect="0,0,0,0"/>
                <v:imagedata r:id="rId57" o:title=""/>
              </v:shape>
            </w:pict>
          </mc:Fallback>
        </mc:AlternateContent>
      </w:r>
      <w:r>
        <w:rPr>
          <w:bCs/>
          <w:sz w:val="22"/>
          <w:szCs w:val="22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</w:p>
    <w:p>
      <w:pPr>
        <w:pStyle w:val="1118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6" w:name="_Toc53"/>
      <w:r>
        <w:rPr>
          <w:sz w:val="24"/>
          <w:szCs w:val="24"/>
        </w:rPr>
        <w:t xml:space="preserve">ФОРМА СОГЛАСИЕ НА ОБРАБОТКУ ПЕРСОНАЛЬНЫХ ДАННЫХ</w:t>
      </w:r>
      <w:bookmarkEnd w:id="176"/>
      <w:r/>
      <w:r>
        <w:rPr>
          <w:sz w:val="24"/>
          <w:szCs w:val="24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от «____» _________________ 20 ____ г.</w:t>
      </w:r>
      <w:r>
        <w:rPr>
          <w:b/>
        </w:rPr>
      </w:r>
    </w:p>
    <w:p>
      <w:pPr>
        <w:ind w:firstLine="567"/>
        <w:spacing w:after="0"/>
        <w:widowControl w:val="off"/>
      </w:pPr>
      <w:r>
        <w:t xml:space="preserve">Настоящим, _____________________________________________________________,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  <w:vertAlign w:val="subscript"/>
        </w:rPr>
      </w:pPr>
      <w:r>
        <w:rPr>
          <w:b/>
          <w:i/>
          <w:vertAlign w:val="subscript"/>
        </w:rPr>
        <w:t xml:space="preserve">                                                  (указывается</w:t>
      </w:r>
      <w:r>
        <w:rPr>
          <w:vertAlign w:val="subscript"/>
        </w:rPr>
        <w:t xml:space="preserve"> </w:t>
      </w:r>
      <w:r>
        <w:rPr>
          <w:b/>
          <w:i/>
          <w:vertAlign w:val="subscript"/>
        </w:rPr>
        <w:t xml:space="preserve">полное наименование участника закупочной процедуры</w:t>
      </w:r>
      <w:r>
        <w:rPr>
          <w:b/>
          <w:i/>
          <w:vertAlign w:val="subscript"/>
        </w:rPr>
      </w:r>
    </w:p>
    <w:p>
      <w:pPr>
        <w:spacing w:after="0"/>
      </w:pPr>
      <w:r>
        <w:rPr>
          <w:b/>
          <w:i/>
        </w:rPr>
        <w:t xml:space="preserve">_____________________________________________________________________________</w:t>
      </w:r>
      <w:r/>
    </w:p>
    <w:p>
      <w:pPr>
        <w:jc w:val="center"/>
        <w:spacing w:after="0"/>
        <w:widowControl w:val="off"/>
        <w:rPr>
          <w:vertAlign w:val="subscript"/>
        </w:rPr>
      </w:pPr>
      <w:r>
        <w:rPr>
          <w:b/>
          <w:i/>
          <w:vertAlign w:val="subscript"/>
        </w:rPr>
        <w:t xml:space="preserve">(потенциального контрагента), контрагента)</w:t>
      </w:r>
      <w:r>
        <w:rPr>
          <w:vertAlign w:val="subscript"/>
        </w:rPr>
      </w:r>
    </w:p>
    <w:p>
      <w:pPr>
        <w:ind w:firstLine="567"/>
        <w:widowControl w:val="off"/>
      </w:pPr>
      <w:r>
        <w:t xml:space="preserve">Адрес регистрации: _______________________________________________________,</w:t>
      </w:r>
      <w:r/>
    </w:p>
    <w:p>
      <w:pPr>
        <w:ind w:firstLine="567"/>
        <w:widowControl w:val="off"/>
      </w:pPr>
      <w:r>
        <w:t xml:space="preserve">Свидетельство о регистрации: ______________________________________________</w:t>
      </w:r>
      <w:r/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ИНН__________________________</w:t>
      </w:r>
      <w:r>
        <w:rPr>
          <w:b/>
          <w:i/>
        </w:rPr>
      </w:r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</w:p>
    <w:p>
      <w:pPr>
        <w:ind w:firstLine="567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</w:t>
      </w:r>
      <w:r>
        <w:rPr>
          <w:b/>
          <w:i/>
        </w:rPr>
      </w:r>
    </w:p>
    <w:p>
      <w:pPr>
        <w:ind w:firstLine="540"/>
        <w:jc w:val="center"/>
        <w:spacing w:after="0"/>
        <w:rPr>
          <w:b/>
          <w:bCs/>
          <w:i/>
          <w:iCs/>
          <w:vertAlign w:val="subscript"/>
        </w:rPr>
      </w:pPr>
      <w:r>
        <w:rPr>
          <w:b/>
          <w:i/>
          <w:vertAlign w:val="subscript"/>
        </w:rPr>
        <w:t xml:space="preserve">(указывается Ф.И.О.,</w:t>
      </w:r>
      <w:r>
        <w:rPr>
          <w:b/>
          <w:i/>
          <w:iCs/>
          <w:vertAlign w:val="subscript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vertAlign w:val="subscript"/>
        </w:rPr>
      </w:r>
    </w:p>
    <w:p>
      <w:pPr>
        <w:jc w:val="left"/>
      </w:pPr>
      <w:r>
        <w:rPr>
          <w:b/>
          <w:i/>
          <w:iCs/>
        </w:rPr>
        <w:t xml:space="preserve">_____________________________________________________________________________</w:t>
      </w:r>
      <w:r>
        <w:rPr>
          <w:iCs/>
        </w:rPr>
        <w:t xml:space="preserve">,</w:t>
      </w:r>
      <w:r/>
    </w:p>
    <w:p>
      <w:pPr>
        <w:ind w:firstLine="540"/>
        <w:jc w:val="center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АО «Россети Янтарь»</w:t>
      </w:r>
      <w:r>
        <w:t xml:space="preserve">, зарегистрированному по адресу: 236022 г. Калининград, ул. Театральная, д. 34,</w:t>
      </w:r>
      <w:r>
        <w:rPr>
          <w:b/>
          <w:i/>
        </w:rPr>
        <w:t xml:space="preserve"> </w:t>
      </w:r>
      <w:r>
        <w:rPr>
          <w:b/>
        </w:rPr>
        <w:t xml:space="preserve">ДЗО _________«_________________» </w:t>
      </w:r>
      <w:r>
        <w:rPr>
          <w:b/>
          <w:i/>
        </w:rPr>
        <w:t xml:space="preserve">(указывается организационно-правовая форма и полное наименование),** </w:t>
      </w:r>
      <w:r>
        <w:t xml:space="preserve">зарегистрированному по адресу:_____________ и</w:t>
      </w:r>
      <w:r>
        <w:rPr>
          <w:i/>
        </w:rPr>
        <w:t xml:space="preserve"> </w:t>
      </w:r>
      <w:r>
        <w:rPr>
          <w:b/>
        </w:rPr>
        <w:t xml:space="preserve">Публичному акционерному обществу «Российские сети»</w:t>
      </w:r>
      <w:r>
        <w:t xml:space="preserve"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</w:t>
      </w:r>
      <w: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/>
    </w:p>
    <w:p>
      <w:pPr>
        <w:ind w:firstLine="567"/>
        <w:spacing w:after="0"/>
        <w:widowControl w:val="off"/>
      </w:pPr>
      <w: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</w:t>
      </w:r>
      <w:r>
        <w:t xml:space="preserve">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tbl>
      <w:tblPr>
        <w:tblW w:w="9243" w:type="dxa"/>
        <w:tblInd w:w="108" w:type="dxa"/>
        <w:tblLook w:val="01E0" w:firstRow="1" w:lastRow="1" w:firstColumn="1" w:lastColumn="1" w:noHBand="0" w:noVBand="0"/>
      </w:tblPr>
      <w:tblGrid>
        <w:gridCol w:w="4849"/>
        <w:gridCol w:w="4394"/>
      </w:tblGrid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ind w:right="-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___________________________________________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(подпись субъекта персональных данных уполномоченного представителя)</w:t>
            </w:r>
            <w:r>
              <w:rPr>
                <w:bCs/>
                <w:vertAlign w:val="subscript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ind w:left="-103"/>
              <w:jc w:val="center"/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vertAlign w:val="subscript"/>
              </w:rPr>
            </w:r>
          </w:p>
        </w:tc>
      </w:tr>
    </w:tbl>
    <w:p>
      <w:pPr>
        <w:tabs>
          <w:tab w:val="left" w:pos="1080" w:leader="none"/>
        </w:tabs>
        <w:rPr>
          <w:b/>
          <w:bCs/>
        </w:rPr>
      </w:pPr>
      <w:r>
        <w:rPr>
          <w:b/>
        </w:rPr>
        <w:t xml:space="preserve">м.п.</w:t>
      </w:r>
      <w:r>
        <w:rPr>
          <w:b/>
          <w:bCs/>
        </w:rPr>
      </w:r>
    </w:p>
    <w:p>
      <w:pPr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ind w:firstLine="567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</w:p>
    <w:p>
      <w:pPr>
        <w:numPr>
          <w:ilvl w:val="0"/>
          <w:numId w:val="51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Участник приводит номер и дату письма о подаче оферты, приложением к которому является данная форма.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t xml:space="preserve"> формы) и адрес место нахождения. Участник закупки,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Согласие на обработку персональных данных подписывае</w:t>
      </w:r>
      <w:r>
        <w:t xml:space="preserve">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 Указывается фамилия, имя, отчество, адрес суб</w:t>
      </w:r>
      <w:r>
        <w:t xml:space="preserve">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</w:t>
      </w:r>
      <w:r>
        <w:t xml:space="preserve">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** При заключении договоров АО «Россети Янтарь», АО «Россети Янтарь»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</w:t>
      </w:r>
      <w:r>
        <w:t xml:space="preserve">(участниках, учредителях, акционерах) и бенефициарах исключает ответственность ПАО «Россети», АО «Россети Янтарь», ДЗО АО «Россети Янтарь» перед руководителем, собственником (участником, учредителем, акционером), а также бенефициаром участника закупки / ко</w:t>
      </w:r>
      <w:r>
        <w:t xml:space="preserve">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</w:t>
      </w:r>
      <w:r>
        <w:t xml:space="preserve">ент) / контрагент получил у руководителя, своих бенефициаров и бенефициаров своих субконтрагентов согласие на представление (обработку) ПАО «Россети», АО «Россети Янтарь», ДЗО АО «Россети Янтарь» и в уполномоченные государственные органы указанных сведений</w:t>
      </w:r>
      <w:r>
        <w:rPr>
          <w:sz w:val="22"/>
          <w:szCs w:val="22"/>
        </w:rPr>
        <w:t xml:space="preserve">.</w:t>
      </w:r>
      <w:r>
        <w:br w:type="page" w:clear="all"/>
      </w:r>
      <w:r/>
    </w:p>
    <w:p>
      <w:pPr>
        <w:pStyle w:val="1118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7" w:name="_Toc54"/>
      <w:r>
        <w:rPr>
          <w:sz w:val="24"/>
          <w:szCs w:val="24"/>
        </w:rPr>
        <w:t xml:space="preserve">ФОРМА АНТИКОРРУПЦИОННЫЕ ОБЯЗАТЕЛЬСТВА</w:t>
      </w:r>
      <w:bookmarkEnd w:id="177"/>
      <w:r/>
      <w:r>
        <w:rPr>
          <w:sz w:val="24"/>
          <w:szCs w:val="24"/>
        </w:rPr>
      </w:r>
    </w:p>
    <w:p>
      <w:r/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Антикоррупционные обязательства</w:t>
      </w:r>
      <w:r>
        <w:rPr>
          <w:b/>
          <w:bCs/>
        </w:rPr>
      </w:r>
    </w:p>
    <w:p>
      <w:pPr>
        <w:jc w:val="center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</w:p>
    <w:p>
      <w:r/>
      <w:r/>
    </w:p>
    <w:p>
      <w:pPr>
        <w:ind w:firstLine="567"/>
        <w:spacing w:after="0"/>
      </w:pPr>
      <w:r>
        <w:t xml:space="preserve">Антикоррупционные обя</w:t>
      </w:r>
      <w: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АО «Россети Янтарь» по разработке и принятию мер по предупреждению и противодействию коррупции.</w:t>
      </w:r>
      <w:r/>
    </w:p>
    <w:p>
      <w:pPr>
        <w:numPr>
          <w:ilvl w:val="0"/>
          <w:numId w:val="52"/>
        </w:numPr>
        <w:ind w:left="0" w:firstLine="567"/>
        <w:spacing w:after="0"/>
        <w:tabs>
          <w:tab w:val="num" w:pos="567" w:leader="none"/>
        </w:tabs>
      </w:pPr>
      <w: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</w:t>
      </w:r>
      <w:r>
        <w:t xml:space="preserve">влеченный в качестве участника ________________ (наименование закупочных процедур) для нужд АО «Россети Янтарь»,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/>
    </w:p>
    <w:p>
      <w:pPr>
        <w:contextualSpacing/>
        <w:ind w:firstLine="567"/>
        <w:spacing w:after="0"/>
        <w:widowControl w:val="off"/>
        <w:tabs>
          <w:tab w:val="num" w:pos="567" w:leader="none"/>
        </w:tabs>
      </w:pPr>
      <w:r>
        <w:t xml:space="preserve">1.1</w:t>
      </w:r>
      <w:r>
        <w:tab/>
        <w:t xml:space="preserve">Ознакомлен с Антикоррупционной хартией российского бизнеса и Антикоррупционной политикой ПАО «Россети» и его ДЗО, представленными в разделе «Антикоррупционная политика» на официальном сайте АО «Россети Янтарь») по адресу в сети Интернет </w:t>
      </w:r>
      <w:hyperlink r:id="rId58" w:tooltip="https://rosseti-yantar.ru/about/antikorruptsionnaya-politika/" w:history="1">
        <w:r>
          <w:rPr>
            <w:rStyle w:val="1337"/>
          </w:rPr>
          <w:t xml:space="preserve">https://rosseti-yantar.ru/about/antikorruptsionnaya-politika/</w:t>
        </w:r>
      </w:hyperlink>
      <w:r>
        <w:t xml:space="preserve"> (далее - Антикоррупционная политика).</w:t>
      </w:r>
      <w:r/>
    </w:p>
    <w:p>
      <w:pPr>
        <w:numPr>
          <w:ilvl w:val="1"/>
          <w:numId w:val="56"/>
        </w:numPr>
        <w:contextualSpacing/>
        <w:ind w:left="0" w:firstLine="567"/>
        <w:spacing w:after="0"/>
        <w:widowControl w:val="off"/>
        <w:tabs>
          <w:tab w:val="num" w:pos="567" w:leader="none"/>
        </w:tabs>
      </w:pPr>
      <w:r>
        <w:t xml:space="preserve">Согласен с принимаемыми в АО «Россети Янтарь» мерами, на</w:t>
      </w:r>
      <w:r>
        <w:t xml:space="preserve">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</w:t>
      </w:r>
      <w:r>
        <w:t xml:space="preserve">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</w:t>
      </w:r>
      <w:r>
        <w:t xml:space="preserve">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</w:t>
      </w:r>
      <w:r>
        <w:t xml:space="preserve">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</w:t>
      </w:r>
      <w:r>
        <w:t xml:space="preserve">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52"/>
        </w:numPr>
        <w:ind w:left="0" w:firstLine="567"/>
        <w:spacing w:after="0"/>
        <w:tabs>
          <w:tab w:val="num" w:pos="567" w:leader="none"/>
        </w:tabs>
      </w:pPr>
      <w:r>
        <w:t xml:space="preserve">Участник, а также его аффилированные лиц</w:t>
      </w:r>
      <w: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</w:rPr>
        <w:t xml:space="preserve">Запрещённые действия</w:t>
      </w:r>
      <w:r>
        <w:t xml:space="preserve">»).</w:t>
      </w:r>
      <w:r/>
    </w:p>
    <w:p>
      <w:pPr>
        <w:ind w:firstLine="567"/>
        <w:spacing w:after="0"/>
        <w:tabs>
          <w:tab w:val="num" w:pos="567" w:leader="none"/>
        </w:tabs>
      </w:pPr>
      <w:r>
        <w:t xml:space="preserve">2.1. К Запрещ</w:t>
      </w:r>
      <w:r>
        <w:rPr>
          <w:bCs/>
        </w:rPr>
        <w:t xml:space="preserve">ё</w:t>
      </w:r>
      <w:r>
        <w:t xml:space="preserve">нным действиям, способным вызвать коррупционные риски при осуществлении закупочной деятельности, относятся: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неполных, заведомо ложных, недостоверных сведений о структуре собственников;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освобождение, предложение или обещание освободить от исполнения обязательства или обязанности;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оказание, предложение или обещание оказать услуги;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предоставление, предложение или обещание предоставить иные выгоды; 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54"/>
        </w:numPr>
        <w:ind w:left="0" w:firstLine="567"/>
        <w:spacing w:after="0"/>
        <w:tabs>
          <w:tab w:val="num" w:pos="567" w:leader="none"/>
        </w:tabs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неоправданных преимуществ по сравнению с другими участниками закупочных процедур;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каких-либо гарантий;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ускорение существующих процедур;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4"/>
        <w:gridCol w:w="791"/>
        <w:gridCol w:w="4822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r/>
      <w:r/>
    </w:p>
    <w:p>
      <w:r/>
      <w:r/>
    </w:p>
    <w:p>
      <w:pPr>
        <w:ind w:firstLine="567"/>
        <w:spacing w:after="160"/>
        <w:rPr>
          <w:rFonts w:eastAsia="Calibri"/>
          <w:b/>
          <w:i/>
        </w:rPr>
      </w:pPr>
      <w:r>
        <w:rPr>
          <w:rFonts w:eastAsia="Calibri"/>
          <w:b/>
          <w:bCs/>
          <w:i/>
          <w:iCs/>
        </w:rPr>
        <w:t xml:space="preserve">Информация о формах обратной связи ПАО «Россети» в рамках системы предупреждения и профилактики коррупции:</w:t>
      </w:r>
      <w:r>
        <w:rPr>
          <w:rFonts w:eastAsia="Calibri"/>
          <w:b/>
          <w:i/>
        </w:rPr>
      </w:r>
    </w:p>
    <w:p>
      <w:pPr>
        <w:rPr>
          <w:rFonts w:eastAsia="Calibri"/>
          <w:bCs/>
          <w:i/>
          <w:iCs/>
          <w:shd w:val="clear" w:color="auto" w:fill="ffffff"/>
        </w:rPr>
      </w:pPr>
      <w:r>
        <w:rPr>
          <w:rFonts w:eastAsia="Calibri"/>
          <w:bCs/>
          <w:i/>
        </w:rPr>
        <w:t xml:space="preserve">         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</w:rPr>
        <w:t xml:space="preserve">» действует система </w:t>
      </w:r>
      <w:r>
        <w:rPr>
          <w:rFonts w:eastAsia="Calibri"/>
          <w:bCs/>
          <w:i/>
          <w:iCs/>
        </w:rPr>
        <w:t xml:space="preserve">предупреждения и профилактики коррупции.</w:t>
      </w:r>
      <w:r>
        <w:rPr>
          <w:rFonts w:eastAsia="Calibri"/>
          <w:bCs/>
          <w:i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Информацию о возможных фактах коррупции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  <w:shd w:val="clear" w:color="auto" w:fill="ffffff"/>
        </w:rPr>
        <w:t xml:space="preserve">», а также дочерних зависимых обществах и их филиалах можно сообщить, заполнив </w:t>
      </w:r>
      <w:hyperlink r:id="rId59" w:tooltip="http://www.rosseti.ru/about/contacts/opinion/" w:history="1">
        <w:r>
          <w:rPr>
            <w:rFonts w:eastAsia="Calibri"/>
            <w:bCs/>
            <w:i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rFonts w:eastAsia="Calibri"/>
          <w:bCs/>
          <w:i/>
        </w:rPr>
        <w:t xml:space="preserve"> на корпоративном веб-сайте</w:t>
      </w:r>
      <w:r>
        <w:rPr>
          <w:rFonts w:eastAsia="Calibri"/>
          <w:bCs/>
          <w:i/>
          <w:shd w:val="clear" w:color="auto" w:fill="ffffff"/>
        </w:rPr>
        <w:t xml:space="preserve">, позвонив по телефону «Горячей линии» +7 495 664-8494, или направив письменное обращение по адресу:</w:t>
      </w:r>
      <w:r>
        <w:rPr>
          <w:rFonts w:eastAsia="Calibri"/>
          <w:bCs/>
          <w:sz w:val="18"/>
          <w:szCs w:val="18"/>
          <w:lang w:eastAsia="en-US"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121353, Москва, ул. Беловежская, д. 4</w:t>
      </w:r>
      <w:r>
        <w:rPr>
          <w:rFonts w:eastAsia="Calibri"/>
          <w:bCs/>
          <w:i/>
          <w:iCs/>
          <w:shd w:val="clear" w:color="auto" w:fill="ffffff"/>
        </w:rPr>
        <w:t xml:space="preserve">.</w:t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jc w:val="left"/>
        <w:spacing w:after="160" w:line="259" w:lineRule="auto"/>
        <w:rPr>
          <w:rFonts w:eastAsia="Calibri"/>
          <w:bCs/>
          <w:i/>
          <w:iCs/>
          <w:shd w:val="clear" w:color="auto" w:fill="ffffff"/>
        </w:rPr>
      </w:pPr>
      <w:r/>
      <w:bookmarkStart w:id="178" w:name="_ФОРМА_Справка_о"/>
      <w:r/>
      <w:bookmarkEnd w:id="178"/>
      <w:r>
        <w:rPr>
          <w:rFonts w:eastAsia="Calibri"/>
          <w:bCs/>
          <w:i/>
          <w:iCs/>
          <w:shd w:val="clear" w:color="auto" w:fill="ffffff"/>
        </w:rPr>
        <w:br w:type="page" w:clear="all"/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pStyle w:val="1118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18"/>
        <w:rPr>
          <w:highlight w:val="white"/>
        </w:rPr>
      </w:pPr>
      <w:r/>
      <w:bookmarkStart w:id="179" w:name="_ФОРМА_СПРА_8"/>
      <w:r/>
      <w:bookmarkStart w:id="180" w:name="_ФОРМА_СПРА_7"/>
      <w:r/>
      <w:bookmarkStart w:id="181" w:name="_ФОРМА_СПРА_6"/>
      <w:r/>
      <w:bookmarkStart w:id="182" w:name="_ФОРМА_СПРА_5"/>
      <w:r/>
      <w:bookmarkStart w:id="183" w:name="_ФОРМА_СПРА_2"/>
      <w:r/>
      <w:bookmarkStart w:id="184" w:name="_Toc55"/>
      <w:r/>
      <w:bookmarkEnd w:id="179"/>
      <w:r/>
      <w:bookmarkEnd w:id="180"/>
      <w:r/>
      <w:bookmarkEnd w:id="181"/>
      <w:r/>
      <w:bookmarkEnd w:id="182"/>
      <w:r/>
      <w:bookmarkEnd w:id="183"/>
      <w:r>
        <w:rPr>
          <w:sz w:val="24"/>
          <w:szCs w:val="24"/>
          <w:highlight w:val="white"/>
        </w:rPr>
        <w:t xml:space="preserve">ФОРМА СПРАВКА О ПЕРЕЧНЕ И ОБЪЕМАХ ВЫПОЛНЕНИЯ АНАЛОГИЧНЫХ ДОГОВОРОВ</w:t>
      </w:r>
      <w:bookmarkEnd w:id="184"/>
      <w:r/>
      <w:r>
        <w:rPr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  <w:t xml:space="preserve">Справка о перечне и объемах выполнения аналогичных договоров</w:t>
      </w:r>
      <w:r>
        <w:rPr>
          <w:b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Наименование закупки _______________________________________________________________________________ Лот № ________</w:t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Номер извещения о проведении закупки в ЕИС: _________________________________</w:t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Наименование участника закупки: _____________________________________________</w:t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Юридический адрес (место нахождения) участника закупки: _______________________</w:t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1474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381"/>
        <w:gridCol w:w="2552"/>
        <w:gridCol w:w="1984"/>
        <w:gridCol w:w="1560"/>
        <w:gridCol w:w="1559"/>
        <w:gridCol w:w="3118"/>
      </w:tblGrid>
      <w:tr>
        <w:tblPrEx/>
        <w:trPr>
          <w:cantSplit/>
          <w:trHeight w:val="1565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17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</w:t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17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п/п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17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и дата договора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17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Сроки выполнения (год и месяц начала выполнения - год и месяц фактического окончания выполнения)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17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  <w:t xml:space="preserve">Заказчик по договору</w:t>
            </w:r>
            <w:r>
              <w:rPr>
                <w:bCs/>
                <w:sz w:val="20"/>
                <w:szCs w:val="20"/>
                <w:highlight w:val="white"/>
              </w:rPr>
            </w:r>
          </w:p>
          <w:p>
            <w:pPr>
              <w:pStyle w:val="1417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17"/>
              <w:ind w:left="-108" w:right="-108"/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Описание договора (объем и состав услуг, описание основных условий договора)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417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рублей </w:t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17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(без НДС)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17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рублей </w:t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1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(с НДС)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4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Стоимость аналогичных работ</w:t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(в случае если указанный договор включает в себя в том числе работы не являющиеся аналогичными)</w:t>
            </w:r>
            <w:r>
              <w:rPr>
                <w:i/>
                <w:sz w:val="20"/>
                <w:szCs w:val="20"/>
                <w:highlight w:val="white"/>
              </w:rPr>
            </w:r>
          </w:p>
          <w:p>
            <w:pPr>
              <w:pStyle w:val="14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руб. без НДС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301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1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1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17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2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17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3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17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4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17"/>
              <w:ind w:left="-108" w:right="-108"/>
              <w:jc w:val="center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5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417"/>
              <w:ind w:left="-109" w:right="-10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6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1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7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4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8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17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17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17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17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17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pStyle w:val="1417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-79" w:right="-108"/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176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…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70"/>
        </w:trPr>
        <w:tc>
          <w:tcPr>
            <w:gridSpan w:val="5"/>
            <w:tcW w:w="8505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ВСЕГО</w:t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19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19"/>
              <w:jc w:val="center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b/>
          <w:bCs/>
          <w:highlight w:val="white"/>
        </w:rPr>
        <w:t xml:space="preserve">м.п.</w:t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b/>
          <w:highlight w:val="white"/>
        </w:rPr>
      </w:pPr>
      <w:r>
        <w:rPr>
          <w:b/>
          <w:highlight w:val="white"/>
        </w:rPr>
        <w:t xml:space="preserve">Инструкции по заполнению:</w:t>
      </w:r>
      <w:r>
        <w:rPr>
          <w:b/>
          <w:highlight w:val="white"/>
        </w:rPr>
      </w:r>
    </w:p>
    <w:p>
      <w:pPr>
        <w:pStyle w:val="1430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highlight w:val="white"/>
        </w:rPr>
      </w:r>
    </w:p>
    <w:p>
      <w:pPr>
        <w:pStyle w:val="1430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highlight w:val="white"/>
        </w:rPr>
      </w:r>
    </w:p>
    <w:p>
      <w:pPr>
        <w:pStyle w:val="1430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highlight w:val="white"/>
        </w:rPr>
      </w:r>
    </w:p>
    <w:p>
      <w:pPr>
        <w:pStyle w:val="1430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этой форме Участник закупки указывает перечень и годовые объемы выполнения всех аналогичных договоров, сопоставимых по объемам, срокам выполнения и прочим требованиям, установленным в документации о закупке.</w:t>
      </w:r>
      <w:r>
        <w:rPr>
          <w:highlight w:val="white"/>
        </w:rPr>
      </w:r>
    </w:p>
    <w:p>
      <w:pPr>
        <w:pStyle w:val="1430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должен указать фактически выполненные по договорам объемы работ.</w:t>
      </w:r>
      <w:r>
        <w:rPr>
          <w:highlight w:val="white"/>
        </w:rPr>
      </w:r>
    </w:p>
    <w:p>
      <w:pPr>
        <w:pStyle w:val="1430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должен указать опыт исполнения договоров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</w:r>
      <w:r>
        <w:rPr>
          <w:highlight w:val="white"/>
        </w:rPr>
      </w:r>
    </w:p>
    <w:p>
      <w:pPr>
        <w:pStyle w:val="1430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случае если Участник указывает в настоящей справке сведения о договоре, включающем в себя как объем аналогичных работ, так и объем </w:t>
      </w:r>
      <w:r>
        <w:rPr>
          <w:highlight w:val="white"/>
        </w:rPr>
        <w:t xml:space="preserve">работ, не являющихся аналогичными в соответствии с требованиями, указанными в документации о закупке, в таком случае Участник должен в гр. 8 данной формы указать объем аналогичных работ, выполненных по указанному договору выраженный в рублях без учета НДС.</w:t>
      </w:r>
      <w:r>
        <w:rPr>
          <w:highlight w:val="white"/>
        </w:rPr>
      </w:r>
    </w:p>
    <w:p>
      <w:pPr>
        <w:pStyle w:val="1430"/>
        <w:numPr>
          <w:ilvl w:val="0"/>
          <w:numId w:val="39"/>
        </w:numPr>
        <w:ind w:left="0" w:firstLine="709"/>
        <w:jc w:val="both"/>
        <w:rPr>
          <w:highlight w:val="white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white"/>
        </w:rPr>
        <w:t xml:space="preserve">Участнику закупки должен приложить файл данной формы, выполненный в редактируемом формате</w:t>
      </w:r>
      <w:r>
        <w:rPr>
          <w:highlight w:val="white"/>
        </w:rPr>
        <w:t xml:space="preserve">.</w:t>
      </w:r>
      <w:r>
        <w:rPr>
          <w:highlight w:val="white"/>
        </w:rPr>
      </w:r>
    </w:p>
    <w:p>
      <w:pPr>
        <w:pStyle w:val="1118"/>
        <w:rPr>
          <w:rFonts w:eastAsiaTheme="majorEastAsia"/>
          <w:sz w:val="24"/>
          <w:szCs w:val="24"/>
          <w:highlight w:val="white"/>
        </w:rPr>
      </w:pPr>
      <w:r/>
      <w:bookmarkStart w:id="185" w:name="_ФОРМА_Комм"/>
      <w:r/>
      <w:bookmarkStart w:id="186" w:name="_ФОРМА_Коммерческое_предложение"/>
      <w:r/>
      <w:bookmarkStart w:id="187" w:name="_Toc56"/>
      <w:r/>
      <w:bookmarkEnd w:id="185"/>
      <w:r/>
      <w:bookmarkEnd w:id="186"/>
      <w:r>
        <w:rPr>
          <w:sz w:val="24"/>
          <w:szCs w:val="24"/>
          <w:highlight w:val="white"/>
        </w:rPr>
        <w:t xml:space="preserve">ФОРМА КОММЕРЧЕСКОЕ ПРЕДЛОЖЕНИЕ</w:t>
      </w:r>
      <w:bookmarkEnd w:id="187"/>
      <w:r/>
      <w:r>
        <w:rPr>
          <w:rFonts w:eastAsiaTheme="majorEastAsia"/>
          <w:sz w:val="24"/>
          <w:szCs w:val="24"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(представляется в составе ценового предложения)</w:t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67"/>
        <w:rPr>
          <w:b/>
          <w:highlight w:val="white"/>
        </w:rPr>
      </w:pPr>
      <w:r>
        <w:rPr>
          <w:highlight w:val="white"/>
        </w:rPr>
        <w:t xml:space="preserve">Форма коммерческого предложения участника закупки представлена в Приложении № 5 к настоящей документации о закупке.</w:t>
      </w:r>
      <w:r>
        <w:rPr>
          <w:b/>
          <w:highlight w:val="white"/>
        </w:rPr>
      </w:r>
    </w:p>
    <w:p>
      <w:pPr>
        <w:numPr>
          <w:ilvl w:val="0"/>
          <w:numId w:val="13"/>
        </w:numPr>
        <w:ind w:left="426"/>
        <w:spacing w:after="0"/>
        <w:rPr>
          <w:b/>
          <w:highlight w:val="yellow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yellow"/>
        </w:rPr>
      </w:r>
      <w:r>
        <w:rPr>
          <w:b/>
          <w:highlight w:val="yellow"/>
        </w:rPr>
      </w:r>
    </w:p>
    <w:p>
      <w:pPr>
        <w:pStyle w:val="1117"/>
        <w:numPr>
          <w:ilvl w:val="0"/>
          <w:numId w:val="4"/>
        </w:numPr>
        <w:ind w:left="0" w:firstLine="567"/>
        <w:pageBreakBefore/>
        <w:spacing w:before="0" w:after="0"/>
        <w:rPr>
          <w:rStyle w:val="1288"/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/>
      <w:bookmarkStart w:id="188" w:name="_IV._ПРОЕКТ"/>
      <w:r/>
      <w:bookmarkStart w:id="189" w:name="_ФОРМА_15._Справка"/>
      <w:r/>
      <w:bookmarkStart w:id="190" w:name="_ФОРМА__Справка"/>
      <w:r/>
      <w:bookmarkStart w:id="191" w:name="_ПРОЕКТ_ДОГОВОРА"/>
      <w:r/>
      <w:bookmarkStart w:id="192" w:name="_Toc57"/>
      <w:r/>
      <w:bookmarkEnd w:id="188"/>
      <w:r/>
      <w:bookmarkEnd w:id="189"/>
      <w:r/>
      <w:bookmarkEnd w:id="190"/>
      <w:r/>
      <w:bookmarkEnd w:id="191"/>
      <w:r>
        <w:rPr>
          <w:rStyle w:val="1288"/>
          <w:rFonts w:ascii="Times New Roman" w:hAnsi="Times New Roman" w:cs="Times New Roman"/>
          <w:caps/>
          <w:color w:val="auto"/>
          <w:sz w:val="28"/>
          <w:szCs w:val="28"/>
        </w:rPr>
        <w:t xml:space="preserve">ПРОЕКТ ДОГОВОРА</w:t>
      </w:r>
      <w:bookmarkEnd w:id="192"/>
      <w:r/>
      <w:r>
        <w:rPr>
          <w:rStyle w:val="1288"/>
          <w:rFonts w:ascii="Times New Roman" w:hAnsi="Times New Roman" w:cs="Times New Roman"/>
          <w:b w:val="0"/>
          <w:caps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Проект договора представлен в виде отдельного файла в составе Приложения №1 к документации о закупке.</w:t>
      </w:r>
      <w:r/>
    </w:p>
    <w:p>
      <w:pPr>
        <w:jc w:val="left"/>
        <w:spacing w:after="0"/>
        <w:rPr>
          <w:bCs/>
        </w:rPr>
      </w:pPr>
      <w:r>
        <w:rPr>
          <w:rStyle w:val="1288"/>
          <w:caps/>
          <w:sz w:val="28"/>
          <w:szCs w:val="28"/>
        </w:rPr>
        <w:br w:type="page" w:clear="all"/>
      </w:r>
      <w:r>
        <w:rPr>
          <w:bCs/>
        </w:rPr>
      </w:r>
    </w:p>
    <w:p>
      <w:pPr>
        <w:pStyle w:val="1117"/>
        <w:numPr>
          <w:ilvl w:val="0"/>
          <w:numId w:val="4"/>
        </w:numPr>
        <w:ind w:left="0" w:firstLine="567"/>
        <w:spacing w:before="0" w:after="0"/>
        <w:rPr>
          <w:rStyle w:val="1288"/>
          <w:rFonts w:ascii="Times New Roman" w:hAnsi="Times New Roman" w:cs="Times New Roman"/>
          <w:b w:val="0"/>
          <w:color w:val="auto"/>
          <w:sz w:val="28"/>
          <w:szCs w:val="28"/>
        </w:rPr>
      </w:pPr>
      <w:r/>
      <w:bookmarkStart w:id="193" w:name="_V._ТЕХНИЧЕ"/>
      <w:r/>
      <w:bookmarkStart w:id="194" w:name="_ТЕХНИЧЕСКАЯ_ЧАСТЬ"/>
      <w:r/>
      <w:bookmarkStart w:id="195" w:name="_Toc58"/>
      <w:r/>
      <w:bookmarkEnd w:id="193"/>
      <w:r/>
      <w:bookmarkEnd w:id="194"/>
      <w:r>
        <w:rPr>
          <w:rStyle w:val="1288"/>
          <w:rFonts w:ascii="Times New Roman" w:hAnsi="Times New Roman" w:cs="Times New Roman"/>
          <w:color w:val="auto"/>
          <w:sz w:val="28"/>
          <w:szCs w:val="28"/>
        </w:rPr>
        <w:t xml:space="preserve">ТЕХНИЧЕСКАЯ ЧАСТЬ</w:t>
      </w:r>
      <w:bookmarkEnd w:id="195"/>
      <w:r/>
      <w:r>
        <w:rPr>
          <w:rStyle w:val="1288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Технические требования к продукции (предмету закупки) представлены в виде отдельного файла в составе Приложения №2 к документации о закупке.</w:t>
      </w:r>
      <w:r/>
    </w:p>
    <w:p>
      <w:pPr>
        <w:rPr>
          <w:bCs/>
        </w:rPr>
      </w:pPr>
      <w:r>
        <w:rPr>
          <w:bCs/>
        </w:rPr>
      </w:r>
      <w:r>
        <w:rPr>
          <w:bCs/>
        </w:rPr>
      </w:r>
    </w:p>
    <w:p>
      <w:pPr>
        <w:jc w:val="left"/>
        <w:spacing w:after="160" w:line="259" w:lineRule="auto"/>
        <w:rPr>
          <w:rStyle w:val="1288"/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Style w:val="1288"/>
          <w:rFonts w:ascii="Times New Roman" w:hAnsi="Times New Roman" w:cs="Times New Roman"/>
          <w:color w:val="auto"/>
          <w:sz w:val="28"/>
          <w:szCs w:val="28"/>
        </w:rPr>
        <w:br w:type="page" w:clear="all"/>
      </w:r>
      <w:r>
        <w:rPr>
          <w:rStyle w:val="1288"/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pStyle w:val="1117"/>
        <w:numPr>
          <w:ilvl w:val="0"/>
          <w:numId w:val="4"/>
        </w:numPr>
        <w:ind w:left="0" w:firstLine="567"/>
        <w:spacing w:before="0" w:after="0"/>
        <w:rPr>
          <w:rStyle w:val="12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96" w:name="_ОБОСНОВАНИЕ_НМЦ"/>
      <w:r/>
      <w:bookmarkStart w:id="197" w:name="_Toc59"/>
      <w:r/>
      <w:bookmarkEnd w:id="196"/>
      <w:r>
        <w:rPr>
          <w:rStyle w:val="1288"/>
          <w:rFonts w:ascii="Times New Roman" w:hAnsi="Times New Roman" w:cs="Times New Roman"/>
          <w:color w:val="auto"/>
          <w:sz w:val="28"/>
          <w:szCs w:val="28"/>
        </w:rPr>
        <w:t xml:space="preserve">ОБОСНОВАНИЕ НМЦ</w:t>
      </w:r>
      <w:bookmarkEnd w:id="197"/>
      <w:r/>
      <w:r>
        <w:rPr>
          <w:rStyle w:val="1288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Обоснование НМЦ представлено в виде отдельного файла в составе Приложения №3 к документации о закупке.</w:t>
      </w:r>
      <w:r/>
    </w:p>
    <w:p>
      <w:pPr>
        <w:jc w:val="left"/>
        <w:spacing w:after="160" w:line="259" w:lineRule="auto"/>
        <w:rPr>
          <w:bCs/>
        </w:rPr>
      </w:pPr>
      <w:r>
        <w:rPr>
          <w:bCs/>
        </w:rPr>
        <w:br w:type="page" w:clear="all"/>
      </w:r>
      <w:r>
        <w:rPr>
          <w:bCs/>
        </w:rPr>
      </w:r>
    </w:p>
    <w:p>
      <w:pPr>
        <w:pStyle w:val="1117"/>
        <w:numPr>
          <w:ilvl w:val="0"/>
          <w:numId w:val="4"/>
        </w:numPr>
        <w:ind w:left="0" w:firstLine="567"/>
        <w:spacing w:before="0" w:after="0"/>
      </w:pPr>
      <w:r/>
      <w:bookmarkStart w:id="198" w:name="_VII._ТИПОВ"/>
      <w:r/>
      <w:bookmarkStart w:id="199" w:name="_Типовые_формы_независимых"/>
      <w:r/>
      <w:bookmarkStart w:id="200" w:name="_Hlk121332483"/>
      <w:r/>
      <w:bookmarkStart w:id="201" w:name="_Toc60"/>
      <w:r/>
      <w:bookmarkEnd w:id="198"/>
      <w:r/>
      <w:bookmarkEnd w:id="199"/>
      <w:r>
        <w:rPr>
          <w:sz w:val="28"/>
          <w:szCs w:val="28"/>
        </w:rPr>
        <w:t xml:space="preserve">ТИПОВ</w:t>
      </w:r>
      <w:r>
        <w:rPr>
          <w:rFonts w:eastAsiaTheme="majorEastAsia"/>
          <w:sz w:val="28"/>
          <w:szCs w:val="28"/>
        </w:rPr>
        <w:t xml:space="preserve">ЫЕ</w:t>
      </w:r>
      <w:r>
        <w:rPr>
          <w:sz w:val="28"/>
          <w:szCs w:val="28"/>
        </w:rPr>
        <w:t xml:space="preserve"> ФОРМ</w:t>
      </w:r>
      <w:r>
        <w:rPr>
          <w:rFonts w:eastAsiaTheme="majorEastAsia"/>
          <w:sz w:val="28"/>
          <w:szCs w:val="28"/>
        </w:rPr>
        <w:t xml:space="preserve">Ы</w:t>
      </w:r>
      <w:r>
        <w:rPr>
          <w:sz w:val="28"/>
          <w:szCs w:val="28"/>
        </w:rPr>
        <w:t xml:space="preserve"> НЕЗАВИСИМ</w:t>
      </w:r>
      <w:r>
        <w:rPr>
          <w:rFonts w:eastAsiaTheme="majorEastAsia"/>
          <w:sz w:val="28"/>
          <w:szCs w:val="28"/>
        </w:rPr>
        <w:t xml:space="preserve">ЫХ ГАРАНТИЙ</w:t>
      </w:r>
      <w:bookmarkEnd w:id="200"/>
      <w:r/>
      <w:bookmarkEnd w:id="201"/>
      <w:r/>
      <w:r/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Типовая форма</w:t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 независимой гарантии обеспечения заявки участника закупочной процедуры</w:t>
      </w:r>
      <w:r>
        <w:rPr>
          <w:b/>
          <w:i/>
        </w:rPr>
      </w:r>
    </w:p>
    <w:p>
      <w:pPr>
        <w:ind w:firstLine="3420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rFonts w:eastAsia="Arial Unicode MS"/>
          <w:color w:val="000000"/>
        </w:rPr>
        <w:t xml:space="preserve"> </w:t>
      </w:r>
      <w:r>
        <w:rPr>
          <w:b/>
          <w:bCs/>
        </w:rPr>
        <w:t xml:space="preserve"> НЕЗАВИСИМАЯ ГАРАНТИЯ № ______</w:t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</w:pPr>
      <w:r>
        <w:t xml:space="preserve">г.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«___»__________20__ г.</w:t>
      </w:r>
      <w:r/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after="0"/>
        <w:widowControl w:val="off"/>
        <w:rPr>
          <w:i/>
        </w:rPr>
      </w:pPr>
      <w:r>
        <w:rPr>
          <w:bCs/>
        </w:rPr>
        <w:t xml:space="preserve"> </w:t>
      </w:r>
      <w:r>
        <w:t xml:space="preserve">Мы информированы о том, что________________________ </w:t>
      </w:r>
      <w:r>
        <w:rPr>
          <w:i/>
        </w:rPr>
        <w:t xml:space="preserve">(</w:t>
      </w:r>
      <w:r>
        <w:rPr>
          <w:bCs/>
          <w:i/>
        </w:rPr>
        <w:t xml:space="preserve">наименование, ИНН</w:t>
      </w:r>
      <w:r>
        <w:rPr>
          <w:bCs/>
        </w:rPr>
        <w:t xml:space="preserve">), </w:t>
      </w:r>
      <w:r>
        <w:t xml:space="preserve">именуемое в дальнейшем «Принципал», намерен участвовать в закупке на ___________________________________ </w:t>
      </w:r>
      <w:r>
        <w:rPr>
          <w:i/>
        </w:rPr>
        <w:t xml:space="preserve">(предмет закупки)</w:t>
      </w:r>
      <w:r>
        <w:t xml:space="preserve">, проводимой </w:t>
      </w:r>
      <w:r>
        <w:rPr>
          <w:bCs/>
        </w:rPr>
        <w:t xml:space="preserve">_____________________ (</w:t>
      </w:r>
      <w:r>
        <w:rPr>
          <w:bCs/>
          <w:i/>
        </w:rPr>
        <w:t xml:space="preserve">наименование бенефициара,</w:t>
      </w:r>
      <w:r>
        <w:rPr>
          <w:i/>
        </w:rPr>
        <w:t xml:space="preserve"> ИНН)</w:t>
      </w:r>
      <w:r>
        <w:t xml:space="preserve">, именуемым в дальнейшем «Бенефициар»</w:t>
      </w:r>
      <w:r>
        <w:rPr>
          <w:i/>
        </w:rPr>
        <w:t xml:space="preserve">.</w:t>
      </w:r>
      <w:r>
        <w:rPr>
          <w:i/>
        </w:rPr>
      </w:r>
    </w:p>
    <w:p>
      <w:pPr>
        <w:ind w:firstLine="709"/>
        <w:spacing w:after="0"/>
        <w:widowControl w:val="off"/>
      </w:pPr>
      <w:r>
        <w:t xml:space="preserve">В соответствии с условиями Закупочной документации Принципал обязан предоставить Бенефициару финансовое обеспечение заявки Принципала на сумму в размере ___________________________</w:t>
      </w:r>
      <w:r>
        <w:rPr>
          <w:i/>
        </w:rPr>
        <w:t xml:space="preserve"> (сумма цифрами и прописью</w:t>
      </w:r>
      <w:r>
        <w:t xml:space="preserve">).</w:t>
      </w:r>
      <w:r/>
    </w:p>
    <w:p>
      <w:pPr>
        <w:ind w:firstLine="709"/>
        <w:spacing w:after="0"/>
        <w:widowControl w:val="off"/>
        <w:tabs>
          <w:tab w:val="left" w:pos="1080" w:leader="none"/>
          <w:tab w:val="left" w:pos="9180" w:leader="none"/>
        </w:tabs>
      </w:pPr>
      <w:r>
        <w:t xml:space="preserve">Учитывая вышеизложенное, по просьбе Принципала, мы, _________________________________ (</w:t>
      </w:r>
      <w:r>
        <w:rPr>
          <w:i/>
        </w:rPr>
        <w:t xml:space="preserve">реквизиты гаранта: наименование, ИНН, реквизиты лицензии на осуществлении банковских операций</w:t>
      </w:r>
      <w:r>
        <w:rPr>
          <w:bCs/>
          <w:i/>
        </w:rPr>
        <w:t xml:space="preserve">/иных документов, подтверждающих наличие у гаранта права на выдачу независимых гарантий</w:t>
      </w:r>
      <w:r>
        <w:rPr>
          <w:rStyle w:val="1320"/>
        </w:rPr>
        <w:footnoteReference w:id="25"/>
      </w:r>
      <w:r>
        <w:rPr>
          <w:rStyle w:val="1320"/>
        </w:rPr>
        <w:t xml:space="preserve">1</w:t>
      </w:r>
      <w:r>
        <w:t xml:space="preserve">), в лице </w:t>
      </w:r>
      <w:r>
        <w:rPr>
          <w:i/>
        </w:rPr>
        <w:t xml:space="preserve">_____________(Ф.И.О. уполномоченного действовать от имени гаранта лица</w:t>
      </w:r>
      <w:r>
        <w:t xml:space="preserve">), действующего на основании _____________ (</w:t>
      </w:r>
      <w:r>
        <w:rPr>
          <w:i/>
        </w:rPr>
        <w:t xml:space="preserve">реквизиты доверенности)</w:t>
      </w:r>
      <w:r>
        <w:t xml:space="preserve">, именуемый в дальнейшем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>
        <w:rPr>
          <w:i/>
        </w:rPr>
        <w:t xml:space="preserve">(сумма цифрами и прописью</w:t>
      </w:r>
      <w:r>
        <w:t xml:space="preserve">), в случае:</w:t>
      </w:r>
      <w:r/>
    </w:p>
    <w:p>
      <w:pPr>
        <w:pStyle w:val="1430"/>
        <w:numPr>
          <w:ilvl w:val="0"/>
          <w:numId w:val="57"/>
        </w:numPr>
        <w:ind w:left="0" w:firstLine="709"/>
        <w:jc w:val="both"/>
      </w:pPr>
      <w:r>
        <w:t xml:space="preserve">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430"/>
        <w:numPr>
          <w:ilvl w:val="0"/>
          <w:numId w:val="57"/>
        </w:numPr>
        <w:ind w:left="0" w:firstLine="709"/>
        <w:jc w:val="both"/>
      </w:pPr>
      <w:r>
        <w:t xml:space="preserve">уклонения или отказа участника закупки от заключения договора</w:t>
      </w:r>
      <w:r/>
    </w:p>
    <w:p>
      <w:pPr>
        <w:ind w:firstLine="709"/>
        <w:spacing w:after="0"/>
        <w:widowControl w:val="off"/>
        <w:tabs>
          <w:tab w:val="left" w:pos="1080" w:leader="none"/>
        </w:tabs>
      </w:pPr>
      <w:r>
        <w:t xml:space="preserve"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  <w:r/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tab/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tabs>
          <w:tab w:val="left" w:pos="1080" w:leader="none"/>
        </w:tabs>
      </w:pPr>
      <w:r>
        <w:rPr>
          <w:bCs/>
        </w:rPr>
        <w:t xml:space="preserve">Настоящая независимая гарантия вступает в силу с _________20___года и действует по __________20___года (включительно). </w:t>
      </w:r>
      <w:r/>
    </w:p>
    <w:p>
      <w:pPr>
        <w:ind w:firstLine="709"/>
        <w:spacing w:after="0"/>
        <w:widowControl w:val="off"/>
      </w:pPr>
      <w:r>
        <w:rPr>
          <w:bCs/>
        </w:rPr>
        <w:t xml:space="preserve">Письменное требование платежа </w:t>
      </w:r>
      <w:r>
        <w:t xml:space="preserve">должно быть направлено </w:t>
      </w:r>
      <w:r>
        <w:rPr>
          <w:bCs/>
        </w:rPr>
        <w:t xml:space="preserve">Гаранту до 24 часов 00 минут «______» _________ (включительно) </w:t>
      </w:r>
      <w:r>
        <w:t xml:space="preserve">по адресу: </w:t>
      </w:r>
      <w:r>
        <w:rPr>
          <w:bCs/>
        </w:rPr>
        <w:t xml:space="preserve">__________________________</w:t>
      </w:r>
      <w:r>
        <w:t xml:space="preserve"> </w:t>
      </w:r>
      <w:r>
        <w:rPr>
          <w:bCs/>
        </w:rPr>
        <w:t xml:space="preserve">посредством почтовой связи либо передано нарочным непосредственно по адресу: _______________________.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Гарант по получении от Бенефициара письменного требования о выплате денежной суммы</w:t>
      </w:r>
      <w:r>
        <w:rPr>
          <w:rFonts w:eastAsia="Arial Unicode MS"/>
          <w:color w:val="000000"/>
        </w:rPr>
        <w:t xml:space="preserve"> по настоящей независимой гарантии</w:t>
      </w:r>
      <w:r>
        <w:rPr>
          <w:bCs/>
        </w:rPr>
        <w:t xml:space="preserve">, обязуется в течение 10 рабочих дней с момента получения требования от Бенефициара, соответствующего условиям настоящей </w:t>
      </w:r>
      <w:r>
        <w:rPr>
          <w:bCs/>
        </w:rPr>
        <w:t xml:space="preserve">независимой гарантии, при отсутствии предусмотренных Граждан</w:t>
      </w:r>
      <w:r>
        <w:rPr>
          <w:bCs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bCs/>
        </w:rPr>
      </w:r>
    </w:p>
    <w:p>
      <w:pPr>
        <w:ind w:firstLine="709"/>
        <w:spacing w:after="0"/>
        <w:widowControl w:val="off"/>
      </w:pPr>
      <w:r>
        <w:rPr>
          <w:bCs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t xml:space="preserve"> 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bCs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bCs/>
        </w:rPr>
        <w:t xml:space="preserve">Письменное согласие Бенефициар</w:t>
      </w:r>
      <w:r>
        <w:rPr>
          <w:bCs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</w:pPr>
      <w:r>
        <w:t xml:space="preserve">Гарант передает сведения о Принципале, определенные ст. 4 Федерального закона от 30.12.200</w:t>
      </w:r>
      <w: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ind w:firstLine="709"/>
        <w:spacing w:after="0"/>
        <w:widowControl w:val="off"/>
      </w:pPr>
      <w:r>
        <w:t xml:space="preserve">Действие настоящей независимой гарантии регулируется законодательством Российской Федерации. </w:t>
      </w:r>
      <w:r/>
    </w:p>
    <w:p>
      <w:pPr>
        <w:ind w:firstLine="709"/>
        <w:spacing w:after="0"/>
        <w:widowControl w:val="off"/>
      </w:pPr>
      <w: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</w:t>
      </w:r>
      <w:r>
        <w:rPr>
          <w:rFonts w:eastAsia="Calibri"/>
          <w:lang w:eastAsia="en-US"/>
        </w:rPr>
        <w:t xml:space="preserve">Арбитражном суде </w:t>
      </w:r>
      <w:r>
        <w:rPr>
          <w:rFonts w:eastAsia="Arial Unicode MS"/>
          <w:lang w:eastAsia="en-US"/>
        </w:rPr>
        <w:t xml:space="preserve">_________ </w:t>
      </w:r>
      <w:r>
        <w:rPr>
          <w:rFonts w:eastAsia="Calibri"/>
          <w:i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Arial Unicode MS"/>
          <w:lang w:eastAsia="en-US"/>
        </w:rPr>
        <w:t xml:space="preserve">.</w:t>
      </w:r>
      <w:r/>
    </w:p>
    <w:p>
      <w:pPr>
        <w:spacing w:after="0"/>
        <w:widowControl w:val="off"/>
        <w:tabs>
          <w:tab w:val="left" w:pos="1080" w:leader="none"/>
        </w:tabs>
      </w:pPr>
      <w:r/>
      <w:r/>
    </w:p>
    <w:p>
      <w:pPr>
        <w:spacing w:after="0"/>
        <w:widowControl w:val="off"/>
        <w:tabs>
          <w:tab w:val="left" w:pos="1080" w:leader="none"/>
        </w:tabs>
        <w:rPr>
          <w:sz w:val="28"/>
          <w:szCs w:val="28"/>
        </w:rPr>
      </w:pPr>
      <w:r>
        <w:t xml:space="preserve">Подписи уполномоченных лиц</w:t>
      </w:r>
      <w:r>
        <w:rPr>
          <w:sz w:val="28"/>
          <w:szCs w:val="28"/>
        </w:rPr>
      </w:r>
    </w:p>
    <w:p>
      <w:pPr>
        <w:spacing w:after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Типовая форма</w:t>
      </w:r>
      <w:r>
        <w:rPr>
          <w:rFonts w:eastAsia="Calibri"/>
          <w:b/>
          <w:bCs/>
        </w:rPr>
      </w:r>
    </w:p>
    <w:p>
      <w:pPr>
        <w:jc w:val="center"/>
        <w:spacing w:after="0"/>
        <w:widowControl w:val="off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  <w:lang w:eastAsia="en-US"/>
        </w:rPr>
        <w:t xml:space="preserve">независимой гарантии на исполнение обязательств</w:t>
      </w:r>
      <w:r>
        <w:rPr>
          <w:rFonts w:eastAsia="Calibri"/>
          <w:b/>
          <w:bCs/>
          <w:i/>
        </w:rPr>
      </w:r>
    </w:p>
    <w:p>
      <w:pPr>
        <w:ind w:left="4962"/>
        <w:spacing w:after="0"/>
        <w:widowControl w:val="off"/>
        <w:rPr>
          <w:rFonts w:eastAsia="Calibri"/>
          <w:b/>
        </w:rPr>
      </w:pPr>
      <w:r>
        <w:rPr>
          <w:rFonts w:eastAsia="Calibri"/>
          <w:b/>
          <w:lang w:eastAsia="en-US"/>
        </w:rPr>
        <w:t xml:space="preserve">    </w:t>
      </w:r>
      <w:r>
        <w:rPr>
          <w:rFonts w:eastAsia="Calibri"/>
          <w:b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НЕЗАВИСИМАЯ ГАРАНТИЯ № ______</w:t>
      </w:r>
      <w:r>
        <w:rPr>
          <w:rFonts w:eastAsia="Calibri"/>
          <w:b/>
          <w:bCs/>
        </w:rPr>
      </w:r>
    </w:p>
    <w:p>
      <w:pPr>
        <w:jc w:val="left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г. ________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«___»___________20__ г.</w:t>
      </w:r>
      <w:r>
        <w:rPr>
          <w:rFonts w:eastAsia="Calibri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Calibri"/>
          <w:bCs/>
          <w:lang w:eastAsia="en-US"/>
        </w:rPr>
        <w:t xml:space="preserve"> _____________________ (</w:t>
      </w:r>
      <w:r>
        <w:rPr>
          <w:rFonts w:eastAsia="Calibri"/>
          <w:bCs/>
          <w:i/>
          <w:lang w:eastAsia="en-US"/>
        </w:rPr>
        <w:t xml:space="preserve">наименование гаранта, ОГРН и/или ИНН; реквизиты лицензии на осуществление банковских операций/иных документов, подтверждающих наличие у гаранта права на выдачу независимых гарантий</w:t>
      </w:r>
      <w:r>
        <w:rPr>
          <w:rFonts w:eastAsia="Calibri"/>
          <w:bCs/>
          <w:i/>
          <w:vertAlign w:val="superscript"/>
          <w:lang w:eastAsia="en-US"/>
        </w:rPr>
        <w:footnoteReference w:id="26"/>
      </w:r>
      <w:r>
        <w:rPr>
          <w:rFonts w:eastAsia="Calibri"/>
          <w:bCs/>
          <w:i/>
          <w:vertAlign w:val="superscript"/>
          <w:lang w:eastAsia="en-US"/>
        </w:rPr>
        <w:t xml:space="preserve">1</w:t>
      </w:r>
      <w:r>
        <w:rPr>
          <w:rFonts w:eastAsia="Calibri"/>
          <w:bCs/>
          <w:i/>
          <w:lang w:eastAsia="en-US"/>
        </w:rPr>
        <w:t xml:space="preserve">),</w:t>
      </w:r>
      <w:r>
        <w:rPr>
          <w:rFonts w:eastAsia="Calibri"/>
          <w:bCs/>
          <w:lang w:eastAsia="en-US"/>
        </w:rPr>
        <w:t xml:space="preserve"> именуемое в дальнейшем «Гарант», в лице _____________________________________ (</w:t>
      </w:r>
      <w:r>
        <w:rPr>
          <w:rFonts w:eastAsia="Calibri"/>
          <w:bCs/>
          <w:i/>
          <w:lang w:eastAsia="en-US"/>
        </w:rPr>
        <w:t xml:space="preserve">Ф.И.О. уполномоченного действовать от имени гаранта лица),</w:t>
      </w:r>
      <w:r>
        <w:rPr>
          <w:rFonts w:eastAsia="Calibri"/>
          <w:bCs/>
          <w:lang w:eastAsia="en-US"/>
        </w:rPr>
        <w:t xml:space="preserve"> действующего на основании ______________________________</w:t>
      </w:r>
      <w:r>
        <w:rPr>
          <w:rFonts w:eastAsia="Calibri"/>
          <w:bCs/>
          <w:i/>
          <w:lang w:eastAsia="en-US"/>
        </w:rPr>
        <w:t xml:space="preserve">(дата, номер доверенности), </w:t>
      </w:r>
      <w:r>
        <w:rPr>
          <w:rFonts w:eastAsia="Arial Unicode MS"/>
          <w:lang w:eastAsia="en-US"/>
        </w:rPr>
        <w:t xml:space="preserve">настоящим принимает на себя безусловное и безотзывное обязательство уплатить </w:t>
      </w:r>
      <w:r>
        <w:rPr>
          <w:rFonts w:eastAsia="Calibri"/>
          <w:bCs/>
          <w:lang w:eastAsia="en-US"/>
        </w:rPr>
        <w:t xml:space="preserve">_____________________ (</w:t>
      </w:r>
      <w:r>
        <w:rPr>
          <w:rFonts w:eastAsia="Calibri"/>
          <w:bCs/>
          <w:i/>
          <w:lang w:eastAsia="en-US"/>
        </w:rPr>
        <w:t xml:space="preserve">наименование бенефициара, </w:t>
      </w:r>
      <w:r>
        <w:rPr>
          <w:rFonts w:eastAsia="Arial Unicode MS"/>
          <w:i/>
          <w:lang w:eastAsia="en-US"/>
        </w:rPr>
        <w:t xml:space="preserve">ОГРН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ИНН)</w:t>
      </w:r>
      <w:r>
        <w:rPr>
          <w:rFonts w:eastAsia="Arial Unicode MS"/>
          <w:lang w:eastAsia="en-US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Fonts w:eastAsia="Arial Unicode MS"/>
          <w:i/>
          <w:lang w:eastAsia="en-US"/>
        </w:rPr>
        <w:t xml:space="preserve">(сумма цифрами и прописью),</w:t>
      </w:r>
      <w:r>
        <w:rPr>
          <w:rFonts w:eastAsia="Arial Unicode MS"/>
          <w:lang w:eastAsia="en-US"/>
        </w:rPr>
        <w:t xml:space="preserve"> по получении письменного требования Бенефициара, указывающего, что ___________________ </w:t>
      </w:r>
      <w:r>
        <w:rPr>
          <w:rFonts w:eastAsia="Arial Unicode MS"/>
          <w:i/>
          <w:lang w:eastAsia="en-US"/>
        </w:rPr>
        <w:t xml:space="preserve">(наименование, ИНН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ОГРН)</w:t>
      </w:r>
      <w:r>
        <w:rPr>
          <w:rFonts w:eastAsia="Arial Unicode MS"/>
          <w:lang w:eastAsia="en-US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Fonts w:eastAsia="Arial Unicode MS"/>
          <w:i/>
          <w:lang w:eastAsia="en-US"/>
        </w:rPr>
        <w:t xml:space="preserve">по договору, который будет заключен по результатам определе</w:t>
      </w:r>
      <w:r>
        <w:rPr>
          <w:rFonts w:eastAsia="Arial Unicode MS"/>
          <w:i/>
          <w:lang w:eastAsia="en-US"/>
        </w:rPr>
        <w:t xml:space="preserve">ния поставщика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(указывается дата подписания либо более поздняя из дат указанная в протоколе) №___ )*,</w:t>
      </w:r>
      <w:r>
        <w:rPr>
          <w:rFonts w:eastAsia="Arial Unicode MS"/>
          <w:lang w:eastAsia="en-US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*Примечание: </w:t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заключения договора на основании решения (указать наименование закупочного органа бенефициар</w:t>
      </w:r>
      <w:r>
        <w:rPr>
          <w:rFonts w:eastAsia="Arial Unicode MS"/>
          <w:i/>
          <w:lang w:eastAsia="en-US"/>
        </w:rPr>
        <w:t xml:space="preserve">а)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(указать наименование закупочного органа бенефициара) от __</w:t>
      </w:r>
      <w:r>
        <w:rPr>
          <w:rFonts w:eastAsia="Arial Unicode MS"/>
          <w:i/>
          <w:lang w:eastAsia="en-US"/>
        </w:rPr>
        <w:br/>
        <w:t xml:space="preserve">№ ____)»;</w:t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</w:t>
      </w:r>
      <w:r>
        <w:rPr>
          <w:rFonts w:eastAsia="Arial Unicode MS"/>
          <w:i/>
          <w:lang w:eastAsia="en-US"/>
        </w:rPr>
        <w:t xml:space="preserve">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Договору________ (указывается номер, дата договора), именуемый в дальнейшем «Договор».</w:t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по получении от Бенефициара письм</w:t>
      </w:r>
      <w:r>
        <w:rPr>
          <w:rFonts w:eastAsia="Arial Unicode MS"/>
          <w:lang w:eastAsia="en-US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Fonts w:eastAsia="Arial Unicode MS"/>
          <w:lang w:eastAsia="en-US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Письменное требование платежа должно быть направлено Гаранту до 24 часов 00 минут «__» _________ по адресу: _________________________________ посредством почтовой связи либо передано непосредственно по адресу: _______________________. </w:t>
      </w:r>
      <w:r>
        <w:rPr>
          <w:rFonts w:eastAsia="Arial Unicode MS"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**Примечание: в случае первоначального предоставлен</w:t>
      </w:r>
      <w:r>
        <w:rPr>
          <w:rFonts w:eastAsia="Arial Unicode MS"/>
          <w:i/>
          <w:lang w:eastAsia="en-US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Calibri"/>
          <w:bCs/>
        </w:rPr>
      </w:pPr>
      <w:r>
        <w:rPr>
          <w:rFonts w:eastAsia="Calibri"/>
          <w:bCs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bCs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bCs/>
          <w:lang w:eastAsia="en-US"/>
        </w:rPr>
        <w:t xml:space="preserve">Письменное согласие Бенефициар</w:t>
      </w:r>
      <w:r>
        <w:rPr>
          <w:rFonts w:eastAsia="Calibri"/>
          <w:bCs/>
          <w:lang w:eastAsia="en-US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передает сведения о Принципале, определенные ст. 4 Федерального закона от 30.12.2004</w:t>
      </w:r>
      <w:r>
        <w:rPr>
          <w:rFonts w:eastAsia="Arial Unicode MS"/>
          <w:lang w:eastAsia="en-US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lang w:eastAsia="en-US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(указывается арбитражный суд по месту нахождения бенефициара).</w:t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lang w:eastAsia="en-US"/>
        </w:rPr>
        <w:t xml:space="preserve">Подписи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уполномоченных</w:t>
      </w:r>
      <w:r>
        <w:rPr>
          <w:rFonts w:eastAsia="Calibri"/>
          <w:bCs/>
          <w:lang w:eastAsia="en-US"/>
        </w:rPr>
        <w:t xml:space="preserve"> лиц</w:t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jc w:val="left"/>
        <w:spacing w:after="160" w:line="259" w:lineRule="auto"/>
        <w:rPr>
          <w:b/>
          <w:bCs/>
          <w:vertAlign w:val="superscript"/>
        </w:rPr>
      </w:pPr>
      <w:r>
        <w:rPr>
          <w:b/>
          <w:bCs/>
          <w:vertAlign w:val="superscript"/>
        </w:rPr>
        <w:br w:type="page" w:clear="all"/>
      </w:r>
      <w:r>
        <w:rPr>
          <w:b/>
          <w:bCs/>
          <w:vertAlign w:val="superscript"/>
        </w:rPr>
      </w:r>
    </w:p>
    <w:p>
      <w:pPr>
        <w:jc w:val="left"/>
        <w:spacing w:after="0"/>
        <w:widowControl w:val="off"/>
        <w:rPr>
          <w:b/>
          <w:bCs/>
        </w:rPr>
      </w:pPr>
      <w:r>
        <w:rPr>
          <w:b/>
          <w:bCs/>
          <w:vertAlign w:val="superscript"/>
        </w:rPr>
        <w:footnoteReference w:id="27"/>
      </w:r>
      <w:r>
        <w:rPr>
          <w:b/>
          <w:bCs/>
          <w:vertAlign w:val="superscript"/>
        </w:rPr>
        <w:t xml:space="preserve">*****</w:t>
      </w:r>
      <w:r>
        <w:rPr>
          <w:b/>
          <w:bCs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Акт приема-передачи </w:t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независимой(ых) гарантии(й)/</w:t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изменения №__ к независимой гарантии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</w:t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left"/>
        <w:spacing w:after="2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Калининград                                                                                 «__» _____________202__ г.</w:t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bCs/>
          <w:i/>
          <w:u w:val="single"/>
          <w:lang w:eastAsia="en-US"/>
        </w:rPr>
        <w:t xml:space="preserve">Наименование контрагента</w:t>
      </w:r>
      <w:r>
        <w:rPr>
          <w:rFonts w:eastAsia="Calibri"/>
          <w:bCs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именуемое в дальнейшем Поставщик/Исполнитель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Устава/Доверенности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одной стороны, и Акционерное общество «Россети Янтарь» (АО «Россети Янтарь»), именуемое в дальнейшем Покупатель/Заказчик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другой стороны, совместно здесь и далее именуемые «Стороны», заключили настоящий Акт приема-передачи независимой(ых) гарантии(й)/изменения №__ к независимой гарантии о нижеследующем:</w:t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Поставщик/Исполнитель </w:t>
      </w:r>
      <w:r>
        <w:rPr>
          <w:rFonts w:eastAsia="Calibri"/>
          <w:bCs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передает, а Покупатель/Заказчик </w:t>
      </w:r>
      <w:r>
        <w:rPr>
          <w:rFonts w:eastAsia="Calibri"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принимает на основании Договора №____ от ____ независимую(ые) гарантию(и)/изменение №__ к независимой гарантии со следующими параметрами:</w:t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469"/>
        <w:tblW w:w="107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559"/>
        <w:gridCol w:w="1530"/>
        <w:gridCol w:w="1134"/>
        <w:gridCol w:w="850"/>
        <w:gridCol w:w="1134"/>
        <w:gridCol w:w="1559"/>
        <w:gridCol w:w="1242"/>
      </w:tblGrid>
      <w:tr>
        <w:tblPrEx/>
        <w:trPr>
          <w:trHeight w:val="2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№ п/п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гарантии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изменения к гарантии (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данный блок добавляется только в случае приема-передачи изменения к гарантии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)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Наименование гаранта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Сумма гарантии, руб.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gridSpan w:val="2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Срок действия гарантии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Вид гарантии 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(возврат аванса/ исполнение обязательств по договору/ гарантийные обязательства и т.д.) 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выбрать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договора</w:t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185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5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30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начала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окончания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242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Датой передачи независимой(ых) гарантии(й)/изменения №__ к независимой гарантии является дата подписания настоящего Акта приема-передачи независимой(ых) гарантии(й)/изменения №__ к независимой гарантии.</w:t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Настоящий Акт приема-передачи составлен в двух подлинных экземплярах, имеющих одинаковую юридическую силу, по одному для каждой из сторон.</w:t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469"/>
        <w:tblW w:w="1006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387"/>
        <w:gridCol w:w="4673"/>
      </w:tblGrid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Поставщик/Исполнитель</w:t>
            </w:r>
            <w:r>
              <w:rPr>
                <w:rFonts w:eastAsia="Calibri"/>
                <w:bCs/>
                <w:lang w:eastAsia="en-US"/>
              </w:rPr>
              <w:t xml:space="preserve"> 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Поставщика/Исполнителя</w:t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Покупатель/Заказчик </w:t>
            </w:r>
            <w:r>
              <w:rPr>
                <w:rFonts w:eastAsia="Calibri"/>
                <w:bCs/>
                <w:lang w:eastAsia="en-US"/>
              </w:rPr>
              <w:t xml:space="preserve">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АО «Россети Янтарь»</w:t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>
          <w:trHeight w:val="655"/>
        </w:trPr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МП</w:t>
      </w:r>
      <w:r>
        <w:rPr>
          <w:rFonts w:eastAsia="Calibri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Arial (WT)">
    <w:panose1 w:val="020B0604020202020204"/>
  </w:font>
  <w:font w:name="Wingdings">
    <w:panose1 w:val="05010000000000000000"/>
  </w:font>
  <w:font w:name="Symbol">
    <w:panose1 w:val="05010000000000000000"/>
  </w:font>
  <w:font w:name="Proxima Nova ExCn Rg">
    <w:panose1 w:val="02000603000000000000"/>
  </w:font>
  <w:font w:name="MS Mincho">
    <w:panose1 w:val="020206060605050902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32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32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  <w:footnote w:id="2">
    <w:p>
      <w:pPr>
        <w:pStyle w:val="1321"/>
        <w:spacing w:after="0"/>
      </w:pPr>
      <w:r>
        <w:rPr>
          <w:rStyle w:val="1476"/>
          <w:sz w:val="28"/>
          <w:szCs w:val="28"/>
          <w:vertAlign w:val="superscript"/>
        </w:rPr>
        <w:t xml:space="preserve">1</w:t>
      </w:r>
      <w:r>
        <w:rPr>
          <w:rStyle w:val="1477"/>
        </w:rPr>
        <w:t xml:space="preserve"> Данные о наличии лицензии могут быть проверены на официальном сайте Банка России по адресу </w:t>
      </w:r>
      <w:hyperlink r:id="rId1" w:tooltip="http://www.cbr.ru/credit/." w:history="1">
        <w:r>
          <w:rPr>
            <w:rStyle w:val="1337"/>
          </w:rPr>
          <w:t xml:space="preserve">http://www.cbr.ru/credit/.</w:t>
        </w:r>
      </w:hyperlink>
      <w:r>
        <w:rPr>
          <w:rStyle w:val="1477"/>
        </w:rPr>
        <w:t xml:space="preserve"> </w:t>
      </w:r>
      <w:r/>
    </w:p>
  </w:footnote>
  <w:footnote w:id="3">
    <w:p>
      <w:pPr>
        <w:pStyle w:val="1321"/>
        <w:spacing w:after="0"/>
      </w:pPr>
      <w:r>
        <w:rPr>
          <w:rStyle w:val="1476"/>
          <w:sz w:val="28"/>
          <w:szCs w:val="28"/>
          <w:vertAlign w:val="superscript"/>
        </w:rPr>
        <w:t xml:space="preserve">2</w:t>
      </w:r>
      <w:r>
        <w:rPr>
          <w:rStyle w:val="1477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hyperlink r:id="rId2" w:tooltip="https://www.cbr.ru/analytics/strform/." w:history="1">
        <w:r>
          <w:rPr>
            <w:rStyle w:val="1337"/>
          </w:rPr>
          <w:t xml:space="preserve">https://www.cbr.ru/analytics/strform/.</w:t>
        </w:r>
      </w:hyperlink>
      <w:r>
        <w:rPr>
          <w:rStyle w:val="1477"/>
        </w:rPr>
        <w:t xml:space="preserve"> </w:t>
      </w:r>
      <w:r/>
    </w:p>
  </w:footnote>
  <w:footnote w:id="4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</w:p>
    <w:p>
      <w:pPr>
        <w:pStyle w:val="1321"/>
        <w:spacing w:after="0"/>
      </w:pPr>
      <w: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3" w:tooltip="http://www.asv.org.ru/guide/bank/" w:history="1">
        <w:r>
          <w:rPr>
            <w:rStyle w:val="1337"/>
          </w:rPr>
          <w:t xml:space="preserve">http://www.asv.org.ru/guide/bank/</w:t>
        </w:r>
      </w:hyperlink>
      <w:r>
        <w:t xml:space="preserve"> или Банка России по адресу </w:t>
      </w:r>
      <w:hyperlink r:id="rId4" w:tooltip="http://www.cbr.ru/credit/." w:history="1">
        <w:r>
          <w:rPr>
            <w:rStyle w:val="1337"/>
          </w:rPr>
          <w:t xml:space="preserve">http://www.cbr.ru/credit/.</w:t>
        </w:r>
      </w:hyperlink>
      <w:r>
        <w:t xml:space="preserve"> </w:t>
      </w:r>
      <w:r/>
    </w:p>
  </w:footnote>
  <w:footnote w:id="5">
    <w:p>
      <w:pPr>
        <w:pStyle w:val="1321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6">
    <w:p>
      <w:pPr>
        <w:pStyle w:val="1321"/>
        <w:spacing w:after="0"/>
      </w:pPr>
      <w:r>
        <w:rPr>
          <w:rStyle w:val="1320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требованиям п. 3.8.3 настоящего Порядка), а также банков, в отношении которых Банком Рос</w:t>
      </w:r>
      <w:r>
        <w:t xml:space="preserve">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  <w:r/>
    </w:p>
  </w:footnote>
  <w:footnote w:id="7">
    <w:p>
      <w:pPr>
        <w:pStyle w:val="1321"/>
        <w:spacing w:after="0"/>
      </w:pPr>
      <w:r>
        <w:rPr>
          <w:rStyle w:val="1320"/>
        </w:rPr>
        <w:t xml:space="preserve">6</w:t>
      </w:r>
      <w: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5" w:tooltip="http://www.cbr.ru/credit/" w:history="1">
        <w:r>
          <w:rPr>
            <w:rStyle w:val="1337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8">
    <w:p>
      <w:pPr>
        <w:pStyle w:val="1321"/>
      </w:pPr>
      <w:r>
        <w:rPr>
          <w:rStyle w:val="1476"/>
          <w:vertAlign w:val="superscript"/>
        </w:rPr>
        <w:t xml:space="preserve">8</w:t>
      </w:r>
      <w:r>
        <w:rPr>
          <w:rStyle w:val="1477"/>
        </w:rPr>
        <w:t xml:space="preserve"> Включенными в реестр кредитных рейтинговых агентств Центрального банка России. Размещен на сайте ЦБ РФ. </w:t>
      </w:r>
      <w:r>
        <w:rPr>
          <w:rStyle w:val="1478"/>
        </w:rPr>
        <w:t xml:space="preserve">https://cbr.ru.</w:t>
      </w:r>
      <w:r/>
    </w:p>
  </w:footnote>
  <w:footnote w:id="9">
    <w:p>
      <w:pPr>
        <w:pStyle w:val="1321"/>
      </w:pPr>
      <w:r>
        <w:rPr>
          <w:rStyle w:val="1476"/>
          <w:vertAlign w:val="superscript"/>
        </w:rPr>
        <w:t xml:space="preserve">9</w:t>
      </w:r>
      <w:r>
        <w:rPr>
          <w:rStyle w:val="1477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0">
    <w:p>
      <w:pPr>
        <w:pStyle w:val="1321"/>
        <w:spacing w:after="0"/>
      </w:pPr>
      <w:r>
        <w:rPr>
          <w:rStyle w:val="1476"/>
          <w:sz w:val="28"/>
          <w:szCs w:val="28"/>
          <w:vertAlign w:val="superscript"/>
        </w:rPr>
        <w:t xml:space="preserve">1</w:t>
      </w:r>
      <w:r>
        <w:rPr>
          <w:rStyle w:val="1477"/>
        </w:rPr>
        <w:t xml:space="preserve"> Данные о наличии лицензии могут быть проверены на официальном сайте Банка России по адресу </w:t>
      </w:r>
      <w:hyperlink r:id="rId6" w:tooltip="http://www.cbr.ru/credit/." w:history="1">
        <w:r>
          <w:rPr>
            <w:rStyle w:val="1337"/>
          </w:rPr>
          <w:t xml:space="preserve">http://www.cbr.ru/credit/.</w:t>
        </w:r>
      </w:hyperlink>
      <w:r>
        <w:rPr>
          <w:rStyle w:val="1477"/>
        </w:rPr>
        <w:t xml:space="preserve"> </w:t>
      </w:r>
      <w:r/>
    </w:p>
  </w:footnote>
  <w:footnote w:id="11">
    <w:p>
      <w:pPr>
        <w:pStyle w:val="1321"/>
        <w:spacing w:after="0"/>
      </w:pPr>
      <w:r>
        <w:rPr>
          <w:rStyle w:val="1476"/>
          <w:sz w:val="28"/>
          <w:szCs w:val="28"/>
          <w:vertAlign w:val="superscript"/>
        </w:rPr>
        <w:t xml:space="preserve">2</w:t>
      </w:r>
      <w:r>
        <w:rPr>
          <w:rStyle w:val="1477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hyperlink r:id="rId7" w:tooltip="https://www.cbr.ru/analytics/strform/." w:history="1">
        <w:r>
          <w:rPr>
            <w:rStyle w:val="1337"/>
          </w:rPr>
          <w:t xml:space="preserve">https://www.cbr.ru/analytics/strform/.</w:t>
        </w:r>
      </w:hyperlink>
      <w:r>
        <w:rPr>
          <w:rStyle w:val="1477"/>
        </w:rPr>
        <w:t xml:space="preserve"> </w:t>
      </w:r>
      <w:r/>
    </w:p>
  </w:footnote>
  <w:footnote w:id="12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</w:p>
    <w:p>
      <w:pPr>
        <w:pStyle w:val="1321"/>
        <w:spacing w:after="0"/>
      </w:pPr>
      <w: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8" w:tooltip="http://www.asv.org.ru/guide/bank/" w:history="1">
        <w:r>
          <w:rPr>
            <w:rStyle w:val="1337"/>
          </w:rPr>
          <w:t xml:space="preserve">http://www.asv.org.ru/guide/bank/</w:t>
        </w:r>
      </w:hyperlink>
      <w:r>
        <w:t xml:space="preserve"> или Банка России по адресу </w:t>
      </w:r>
      <w:hyperlink r:id="rId9" w:tooltip="http://www.cbr.ru/credit/." w:history="1">
        <w:r>
          <w:rPr>
            <w:rStyle w:val="1337"/>
          </w:rPr>
          <w:t xml:space="preserve">http://www.cbr.ru/credit/.</w:t>
        </w:r>
      </w:hyperlink>
      <w:r>
        <w:t xml:space="preserve"> </w:t>
      </w:r>
      <w:r/>
    </w:p>
  </w:footnote>
  <w:footnote w:id="13">
    <w:p>
      <w:pPr>
        <w:pStyle w:val="1321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14">
    <w:p>
      <w:pPr>
        <w:pStyle w:val="1321"/>
        <w:spacing w:after="0"/>
      </w:pPr>
      <w:r>
        <w:rPr>
          <w:rStyle w:val="1320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требованиям п. 3.8.3 настоящего Порядка), а также банков, в отношении которых Банком Рос</w:t>
      </w:r>
      <w:r>
        <w:t xml:space="preserve">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  <w:r/>
    </w:p>
  </w:footnote>
  <w:footnote w:id="15">
    <w:p>
      <w:pPr>
        <w:pStyle w:val="1321"/>
        <w:spacing w:after="0"/>
      </w:pPr>
      <w:r>
        <w:rPr>
          <w:rStyle w:val="1320"/>
        </w:rPr>
        <w:t xml:space="preserve">6</w:t>
      </w:r>
      <w: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0" w:tooltip="http://www.cbr.ru/credit/" w:history="1">
        <w:r>
          <w:rPr>
            <w:rStyle w:val="1337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16">
    <w:p>
      <w:pPr>
        <w:pStyle w:val="1321"/>
        <w:spacing w:after="0"/>
      </w:pPr>
      <w:r>
        <w:rPr>
          <w:rStyle w:val="1476"/>
          <w:vertAlign w:val="superscript"/>
        </w:rPr>
        <w:t xml:space="preserve">8</w:t>
      </w:r>
      <w:r>
        <w:rPr>
          <w:rStyle w:val="1477"/>
        </w:rPr>
        <w:t xml:space="preserve"> Включенными в реестр кредитных рейтинговых агентств Центрального банка России. Размещен на сайте ЦБ РФ. </w:t>
      </w:r>
      <w:r>
        <w:rPr>
          <w:rStyle w:val="1478"/>
        </w:rPr>
        <w:t xml:space="preserve">https://cbr.ru.</w:t>
      </w:r>
      <w:r/>
    </w:p>
  </w:footnote>
  <w:footnote w:id="17">
    <w:p>
      <w:pPr>
        <w:pStyle w:val="1321"/>
        <w:spacing w:after="0"/>
      </w:pPr>
      <w:r>
        <w:rPr>
          <w:rStyle w:val="1476"/>
          <w:vertAlign w:val="superscript"/>
        </w:rPr>
        <w:t xml:space="preserve">9</w:t>
      </w:r>
      <w:r>
        <w:rPr>
          <w:rStyle w:val="1477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8">
    <w:p>
      <w:pPr>
        <w:pStyle w:val="1321"/>
      </w:pPr>
      <w:r>
        <w:rPr>
          <w:rStyle w:val="1320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19">
    <w:p>
      <w:pPr>
        <w:pStyle w:val="1321"/>
      </w:pPr>
      <w:r>
        <w:rPr>
          <w:rStyle w:val="1320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20">
    <w:p>
      <w:pPr>
        <w:pStyle w:val="1321"/>
      </w:pPr>
      <w:r>
        <w:rPr>
          <w:rStyle w:val="1320"/>
        </w:rPr>
        <w:footnoteRef/>
      </w:r>
      <w:r>
        <w:t xml:space="preserve"> </w:t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лицом.</w:t>
      </w:r>
      <w:r/>
    </w:p>
  </w:footnote>
  <w:footnote w:id="21">
    <w:p>
      <w:pPr>
        <w:pStyle w:val="1321"/>
        <w:spacing w:after="0"/>
      </w:pPr>
      <w:r>
        <w:rPr>
          <w:rStyle w:val="1320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2">
    <w:p>
      <w:pPr>
        <w:pStyle w:val="1321"/>
        <w:spacing w:after="0"/>
      </w:pPr>
      <w:r>
        <w:rPr>
          <w:rStyle w:val="1320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3">
    <w:p>
      <w:pPr>
        <w:pStyle w:val="1321"/>
        <w:spacing w:after="0"/>
      </w:pPr>
      <w:r>
        <w:rPr>
          <w:rStyle w:val="1320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4">
    <w:p>
      <w:pPr>
        <w:pStyle w:val="1321"/>
      </w:pPr>
      <w:r>
        <w:rPr>
          <w:rStyle w:val="1320"/>
        </w:rPr>
        <w:footnoteRef/>
      </w:r>
      <w:r>
        <w:t xml:space="preserve"> Лица, занимающие (занимав</w:t>
      </w:r>
      <w:r>
        <w:t xml:space="preserve">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</w:t>
      </w:r>
      <w:r>
        <w:t xml:space="preserve">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(</w:t>
      </w:r>
      <w:r>
        <w:rPr>
          <w:b/>
        </w:rPr>
        <w:t xml:space="preserve">Перечень публичных должностных лиц указан в </w:t>
      </w:r>
      <w:r/>
    </w:p>
  </w:footnote>
  <w:footnote w:id="25">
    <w:p>
      <w:pPr>
        <w:pStyle w:val="1321"/>
      </w:pPr>
      <w:r>
        <w:rPr>
          <w:rStyle w:val="1320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6">
    <w:p>
      <w:pPr>
        <w:pStyle w:val="1321"/>
      </w:pPr>
      <w:r>
        <w:rPr>
          <w:rStyle w:val="1320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7">
    <w:p>
      <w:pPr>
        <w:pStyle w:val="1321"/>
      </w:pPr>
      <w:r>
        <w:rPr>
          <w:rStyle w:val="1320"/>
        </w:rPr>
        <w:t xml:space="preserve">****</w:t>
      </w:r>
      <w:r>
        <w:t xml:space="preserve"> </w:t>
      </w:r>
      <w:r>
        <w:rPr>
          <w:bCs/>
        </w:rPr>
        <w:t xml:space="preserve">Настоящая форма применяется в случае использования независимых гарантий на этапе заключения договора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82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88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52" w:hanging="180"/>
      </w:p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pStyle w:val="1384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387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388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 w:ascii="Times New Roman" w:hAnsi="Times New Roman" w:cs="Times New Roman"/>
        <w:b/>
        <w:color w:val="auto"/>
        <w:sz w:val="28"/>
        <w:szCs w:val="28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290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7">
    <w:multiLevelType w:val="hybridMultilevel"/>
    <w:lvl w:ilvl="0">
      <w:start w:val="1"/>
      <w:numFmt w:val="decimal"/>
      <w:pStyle w:val="1452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454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453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455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421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3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7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9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3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5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93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020" w:hanging="90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440" w:hanging="1080"/>
      </w:pPr>
      <w:rPr>
        <w:rFonts w:hint="default" w:cs="Times New Roman"/>
        <w:b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458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num w:numId="1">
    <w:abstractNumId w:val="50"/>
  </w:num>
  <w:num w:numId="2">
    <w:abstractNumId w:val="46"/>
  </w:num>
  <w:num w:numId="3">
    <w:abstractNumId w:val="38"/>
  </w:num>
  <w:num w:numId="4">
    <w:abstractNumId w:val="42"/>
  </w:num>
  <w:num w:numId="5">
    <w:abstractNumId w:val="49"/>
  </w:num>
  <w:num w:numId="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8"/>
  </w:num>
  <w:num w:numId="9">
    <w:abstractNumId w:val="39"/>
  </w:num>
  <w:num w:numId="10">
    <w:abstractNumId w:val="25"/>
  </w:num>
  <w:num w:numId="11">
    <w:abstractNumId w:val="26"/>
  </w:num>
  <w:num w:numId="12">
    <w:abstractNumId w:val="58"/>
  </w:num>
  <w:num w:numId="13">
    <w:abstractNumId w:val="29"/>
  </w:num>
  <w:num w:numId="1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51"/>
  </w:num>
  <w:num w:numId="17">
    <w:abstractNumId w:val="43"/>
  </w:num>
  <w:num w:numId="18">
    <w:abstractNumId w:val="10"/>
  </w:num>
  <w:num w:numId="19">
    <w:abstractNumId w:val="23"/>
  </w:num>
  <w:num w:numId="20">
    <w:abstractNumId w:val="22"/>
  </w:num>
  <w:num w:numId="21">
    <w:abstractNumId w:val="3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/>
        <w:rPr>
          <w:rFonts w:hint="default" w:ascii="Times New Roman" w:hAnsi="Times New Roman"/>
        </w:rPr>
      </w:lvl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3"/>
  </w:num>
  <w:num w:numId="25">
    <w:abstractNumId w:val="56"/>
  </w:num>
  <w:num w:numId="26">
    <w:abstractNumId w:val="41"/>
  </w:num>
  <w:num w:numId="27">
    <w:abstractNumId w:val="4"/>
  </w:num>
  <w:num w:numId="28">
    <w:abstractNumId w:val="4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44"/>
  </w:num>
  <w:num w:numId="32">
    <w:abstractNumId w:val="11"/>
  </w:num>
  <w:num w:numId="33">
    <w:abstractNumId w:val="18"/>
  </w:num>
  <w:num w:numId="34">
    <w:abstractNumId w:val="7"/>
  </w:num>
  <w:num w:numId="35">
    <w:abstractNumId w:val="36"/>
  </w:num>
  <w:num w:numId="36">
    <w:abstractNumId w:val="31"/>
  </w:num>
  <w:num w:numId="37">
    <w:abstractNumId w:val="9"/>
  </w:num>
  <w:num w:numId="38">
    <w:abstractNumId w:val="1"/>
  </w:num>
  <w:num w:numId="39">
    <w:abstractNumId w:val="2"/>
  </w:num>
  <w:num w:numId="40">
    <w:abstractNumId w:val="21"/>
  </w:num>
  <w:num w:numId="41">
    <w:abstractNumId w:val="12"/>
  </w:num>
  <w:num w:numId="42">
    <w:abstractNumId w:val="8"/>
  </w:num>
  <w:num w:numId="43">
    <w:abstractNumId w:val="48"/>
  </w:num>
  <w:num w:numId="44">
    <w:abstractNumId w:val="5"/>
  </w:num>
  <w:num w:numId="45">
    <w:abstractNumId w:val="19"/>
  </w:num>
  <w:num w:numId="46">
    <w:abstractNumId w:val="14"/>
  </w:num>
  <w:num w:numId="47">
    <w:abstractNumId w:val="34"/>
  </w:num>
  <w:num w:numId="48">
    <w:abstractNumId w:val="0"/>
  </w:num>
  <w:num w:numId="49">
    <w:abstractNumId w:val="53"/>
  </w:num>
  <w:num w:numId="50">
    <w:abstractNumId w:val="35"/>
  </w:num>
  <w:num w:numId="51">
    <w:abstractNumId w:val="33"/>
  </w:num>
  <w:num w:numId="52">
    <w:abstractNumId w:val="32"/>
  </w:num>
  <w:num w:numId="53">
    <w:abstractNumId w:val="20"/>
  </w:num>
  <w:num w:numId="54">
    <w:abstractNumId w:val="24"/>
  </w:num>
  <w:num w:numId="55">
    <w:abstractNumId w:val="45"/>
  </w:num>
  <w:num w:numId="56">
    <w:abstractNumId w:val="52"/>
  </w:num>
  <w:num w:numId="57">
    <w:abstractNumId w:val="55"/>
  </w:num>
  <w:num w:numId="58">
    <w:abstractNumId w:val="6"/>
  </w:num>
  <w:num w:numId="59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16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7">
    <w:name w:val="Heading 1"/>
    <w:basedOn w:val="1116"/>
    <w:next w:val="1116"/>
    <w:link w:val="1279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118">
    <w:name w:val="Heading 2"/>
    <w:basedOn w:val="1116"/>
    <w:next w:val="1116"/>
    <w:link w:val="1280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119">
    <w:name w:val="Heading 3"/>
    <w:basedOn w:val="1116"/>
    <w:next w:val="1116"/>
    <w:link w:val="1281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120">
    <w:name w:val="Heading 4"/>
    <w:basedOn w:val="1116"/>
    <w:next w:val="1116"/>
    <w:link w:val="1282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121">
    <w:name w:val="Heading 5"/>
    <w:basedOn w:val="1116"/>
    <w:next w:val="1116"/>
    <w:link w:val="1283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122">
    <w:name w:val="Heading 6"/>
    <w:basedOn w:val="1116"/>
    <w:next w:val="1116"/>
    <w:link w:val="1284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123">
    <w:name w:val="Heading 7"/>
    <w:basedOn w:val="1116"/>
    <w:next w:val="1116"/>
    <w:link w:val="1285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124">
    <w:name w:val="Heading 8"/>
    <w:basedOn w:val="1116"/>
    <w:next w:val="1116"/>
    <w:link w:val="1286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125">
    <w:name w:val="Heading 9"/>
    <w:basedOn w:val="1116"/>
    <w:next w:val="1116"/>
    <w:link w:val="1287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126" w:default="1">
    <w:name w:val="Default Paragraph Font"/>
    <w:uiPriority w:val="1"/>
    <w:semiHidden/>
    <w:unhideWhenUsed/>
  </w:style>
  <w:style w:type="table" w:styleId="11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28" w:default="1">
    <w:name w:val="No List"/>
    <w:uiPriority w:val="99"/>
    <w:semiHidden/>
    <w:unhideWhenUsed/>
  </w:style>
  <w:style w:type="character" w:styleId="1129" w:customStyle="1">
    <w:name w:val="Quote Char"/>
    <w:uiPriority w:val="29"/>
    <w:rPr>
      <w:i/>
    </w:rPr>
  </w:style>
  <w:style w:type="character" w:styleId="1130" w:customStyle="1">
    <w:name w:val="Intense Quote Char"/>
    <w:uiPriority w:val="30"/>
    <w:rPr>
      <w:i/>
    </w:rPr>
  </w:style>
  <w:style w:type="character" w:styleId="1131" w:customStyle="1">
    <w:name w:val="Heading 1 Char"/>
    <w:basedOn w:val="1126"/>
    <w:uiPriority w:val="9"/>
    <w:rPr>
      <w:rFonts w:ascii="Arial" w:hAnsi="Arial" w:eastAsia="Arial" w:cs="Arial"/>
      <w:sz w:val="40"/>
      <w:szCs w:val="40"/>
    </w:rPr>
  </w:style>
  <w:style w:type="character" w:styleId="1132" w:customStyle="1">
    <w:name w:val="Heading 2 Char"/>
    <w:basedOn w:val="1126"/>
    <w:uiPriority w:val="9"/>
    <w:rPr>
      <w:rFonts w:ascii="Arial" w:hAnsi="Arial" w:eastAsia="Arial" w:cs="Arial"/>
      <w:sz w:val="34"/>
    </w:rPr>
  </w:style>
  <w:style w:type="character" w:styleId="1133" w:customStyle="1">
    <w:name w:val="Heading 3 Char"/>
    <w:basedOn w:val="1126"/>
    <w:uiPriority w:val="9"/>
    <w:rPr>
      <w:rFonts w:ascii="Arial" w:hAnsi="Arial" w:eastAsia="Arial" w:cs="Arial"/>
      <w:sz w:val="30"/>
      <w:szCs w:val="30"/>
    </w:rPr>
  </w:style>
  <w:style w:type="character" w:styleId="1134" w:customStyle="1">
    <w:name w:val="Heading 4 Char"/>
    <w:basedOn w:val="1126"/>
    <w:uiPriority w:val="9"/>
    <w:rPr>
      <w:rFonts w:ascii="Arial" w:hAnsi="Arial" w:eastAsia="Arial" w:cs="Arial"/>
      <w:b/>
      <w:bCs/>
      <w:sz w:val="26"/>
      <w:szCs w:val="26"/>
    </w:rPr>
  </w:style>
  <w:style w:type="character" w:styleId="1135" w:customStyle="1">
    <w:name w:val="Heading 5 Char"/>
    <w:basedOn w:val="1126"/>
    <w:uiPriority w:val="9"/>
    <w:rPr>
      <w:rFonts w:ascii="Arial" w:hAnsi="Arial" w:eastAsia="Arial" w:cs="Arial"/>
      <w:b/>
      <w:bCs/>
      <w:sz w:val="24"/>
      <w:szCs w:val="24"/>
    </w:rPr>
  </w:style>
  <w:style w:type="character" w:styleId="1136" w:customStyle="1">
    <w:name w:val="Heading 6 Char"/>
    <w:basedOn w:val="1126"/>
    <w:uiPriority w:val="9"/>
    <w:rPr>
      <w:rFonts w:ascii="Arial" w:hAnsi="Arial" w:eastAsia="Arial" w:cs="Arial"/>
      <w:b/>
      <w:bCs/>
      <w:sz w:val="22"/>
      <w:szCs w:val="22"/>
    </w:rPr>
  </w:style>
  <w:style w:type="character" w:styleId="1137" w:customStyle="1">
    <w:name w:val="Heading 7 Char"/>
    <w:basedOn w:val="11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38" w:customStyle="1">
    <w:name w:val="Heading 8 Char"/>
    <w:basedOn w:val="1126"/>
    <w:uiPriority w:val="9"/>
    <w:rPr>
      <w:rFonts w:ascii="Arial" w:hAnsi="Arial" w:eastAsia="Arial" w:cs="Arial"/>
      <w:i/>
      <w:iCs/>
      <w:sz w:val="22"/>
      <w:szCs w:val="22"/>
    </w:rPr>
  </w:style>
  <w:style w:type="character" w:styleId="1139" w:customStyle="1">
    <w:name w:val="Heading 9 Char"/>
    <w:basedOn w:val="1126"/>
    <w:uiPriority w:val="9"/>
    <w:rPr>
      <w:rFonts w:ascii="Arial" w:hAnsi="Arial" w:eastAsia="Arial" w:cs="Arial"/>
      <w:i/>
      <w:iCs/>
      <w:sz w:val="21"/>
      <w:szCs w:val="21"/>
    </w:rPr>
  </w:style>
  <w:style w:type="character" w:styleId="1140" w:customStyle="1">
    <w:name w:val="Title Char"/>
    <w:basedOn w:val="1126"/>
    <w:uiPriority w:val="10"/>
    <w:rPr>
      <w:sz w:val="48"/>
      <w:szCs w:val="48"/>
    </w:rPr>
  </w:style>
  <w:style w:type="character" w:styleId="1141" w:customStyle="1">
    <w:name w:val="Subtitle Char"/>
    <w:basedOn w:val="1126"/>
    <w:uiPriority w:val="11"/>
    <w:rPr>
      <w:sz w:val="24"/>
      <w:szCs w:val="24"/>
    </w:rPr>
  </w:style>
  <w:style w:type="paragraph" w:styleId="1142">
    <w:name w:val="Quote"/>
    <w:basedOn w:val="1116"/>
    <w:next w:val="1116"/>
    <w:link w:val="1143"/>
    <w:uiPriority w:val="29"/>
    <w:qFormat/>
    <w:pPr>
      <w:ind w:left="720" w:right="720"/>
    </w:pPr>
    <w:rPr>
      <w:i/>
    </w:rPr>
  </w:style>
  <w:style w:type="character" w:styleId="1143" w:customStyle="1">
    <w:name w:val="Цитата 2 Знак"/>
    <w:link w:val="1142"/>
    <w:uiPriority w:val="29"/>
    <w:rPr>
      <w:i/>
    </w:rPr>
  </w:style>
  <w:style w:type="paragraph" w:styleId="1144">
    <w:name w:val="Intense Quote"/>
    <w:basedOn w:val="1116"/>
    <w:next w:val="1116"/>
    <w:link w:val="114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45" w:customStyle="1">
    <w:name w:val="Выделенная цитата Знак"/>
    <w:link w:val="1144"/>
    <w:uiPriority w:val="30"/>
    <w:rPr>
      <w:i/>
    </w:rPr>
  </w:style>
  <w:style w:type="character" w:styleId="1146" w:customStyle="1">
    <w:name w:val="Header Char"/>
    <w:basedOn w:val="1126"/>
    <w:uiPriority w:val="99"/>
  </w:style>
  <w:style w:type="character" w:styleId="1147" w:customStyle="1">
    <w:name w:val="Footer Char"/>
    <w:basedOn w:val="1126"/>
    <w:uiPriority w:val="99"/>
  </w:style>
  <w:style w:type="character" w:styleId="1148" w:customStyle="1">
    <w:name w:val="Caption Char"/>
    <w:uiPriority w:val="99"/>
  </w:style>
  <w:style w:type="table" w:styleId="1149" w:customStyle="1">
    <w:name w:val="Table Grid Light"/>
    <w:basedOn w:val="112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50">
    <w:name w:val="Plain Table 1"/>
    <w:basedOn w:val="112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51">
    <w:name w:val="Plain Table 2"/>
    <w:basedOn w:val="112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52">
    <w:name w:val="Plain Table 3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53">
    <w:name w:val="Plain Table 4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4">
    <w:name w:val="Plain Table 5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55">
    <w:name w:val="Grid Table 1 Light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6" w:customStyle="1">
    <w:name w:val="Grid Table 1 Light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7" w:customStyle="1">
    <w:name w:val="Grid Table 1 Light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8" w:customStyle="1">
    <w:name w:val="Grid Table 1 Light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9" w:customStyle="1">
    <w:name w:val="Grid Table 1 Light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0" w:customStyle="1">
    <w:name w:val="Grid Table 1 Light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1" w:customStyle="1">
    <w:name w:val="Grid Table 1 Light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2">
    <w:name w:val="Grid Table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3" w:customStyle="1">
    <w:name w:val="Grid Table 2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4" w:customStyle="1">
    <w:name w:val="Grid Table 2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5" w:customStyle="1">
    <w:name w:val="Grid Table 2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6" w:customStyle="1">
    <w:name w:val="Grid Table 2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7" w:customStyle="1">
    <w:name w:val="Grid Table 2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8" w:customStyle="1">
    <w:name w:val="Grid Table 2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9">
    <w:name w:val="Grid Table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0" w:customStyle="1">
    <w:name w:val="Grid Table 3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1" w:customStyle="1">
    <w:name w:val="Grid Table 3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2" w:customStyle="1">
    <w:name w:val="Grid Table 3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3" w:customStyle="1">
    <w:name w:val="Grid Table 3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4" w:customStyle="1">
    <w:name w:val="Grid Table 3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5" w:customStyle="1">
    <w:name w:val="Grid Table 3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6">
    <w:name w:val="Grid Table 4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77" w:customStyle="1">
    <w:name w:val="Grid Table 4 - Accent 1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178" w:customStyle="1">
    <w:name w:val="Grid Table 4 - Accent 2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179" w:customStyle="1">
    <w:name w:val="Grid Table 4 - Accent 3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180" w:customStyle="1">
    <w:name w:val="Grid Table 4 - Accent 4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181" w:customStyle="1">
    <w:name w:val="Grid Table 4 - Accent 5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182" w:customStyle="1">
    <w:name w:val="Grid Table 4 - Accent 6"/>
    <w:basedOn w:val="112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183">
    <w:name w:val="Grid Table 5 Dark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184" w:customStyle="1">
    <w:name w:val="Grid Table 5 Dark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185" w:customStyle="1">
    <w:name w:val="Grid Table 5 Dark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186" w:customStyle="1">
    <w:name w:val="Grid Table 5 Dark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187" w:customStyle="1">
    <w:name w:val="Grid Table 5 Dark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188" w:customStyle="1">
    <w:name w:val="Grid Table 5 Dark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189" w:customStyle="1">
    <w:name w:val="Grid Table 5 Dark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190">
    <w:name w:val="Grid Table 6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191" w:customStyle="1">
    <w:name w:val="Grid Table 6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192" w:customStyle="1">
    <w:name w:val="Grid Table 6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193" w:customStyle="1">
    <w:name w:val="Grid Table 6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194" w:customStyle="1">
    <w:name w:val="Grid Table 6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195" w:customStyle="1">
    <w:name w:val="Grid Table 6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196" w:customStyle="1">
    <w:name w:val="Grid Table 6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197">
    <w:name w:val="Grid Table 7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98" w:customStyle="1">
    <w:name w:val="Grid Table 7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99" w:customStyle="1">
    <w:name w:val="Grid Table 7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0" w:customStyle="1">
    <w:name w:val="Grid Table 7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1" w:customStyle="1">
    <w:name w:val="Grid Table 7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2" w:customStyle="1">
    <w:name w:val="Grid Table 7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3" w:customStyle="1">
    <w:name w:val="Grid Table 7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4">
    <w:name w:val="List Table 1 Light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5" w:customStyle="1">
    <w:name w:val="List Table 1 Light - Accent 1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6" w:customStyle="1">
    <w:name w:val="List Table 1 Light - Accent 2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7" w:customStyle="1">
    <w:name w:val="List Table 1 Light - Accent 3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8" w:customStyle="1">
    <w:name w:val="List Table 1 Light - Accent 4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9" w:customStyle="1">
    <w:name w:val="List Table 1 Light - Accent 5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0" w:customStyle="1">
    <w:name w:val="List Table 1 Light - Accent 6"/>
    <w:basedOn w:val="112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1">
    <w:name w:val="List Table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12" w:customStyle="1">
    <w:name w:val="List Table 2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213" w:customStyle="1">
    <w:name w:val="List Table 2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214" w:customStyle="1">
    <w:name w:val="List Table 2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215" w:customStyle="1">
    <w:name w:val="List Table 2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216" w:customStyle="1">
    <w:name w:val="List Table 2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217" w:customStyle="1">
    <w:name w:val="List Table 2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218">
    <w:name w:val="List Table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9" w:customStyle="1">
    <w:name w:val="List Table 3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0" w:customStyle="1">
    <w:name w:val="List Table 3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1" w:customStyle="1">
    <w:name w:val="List Table 3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2" w:customStyle="1">
    <w:name w:val="List Table 3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3" w:customStyle="1">
    <w:name w:val="List Table 3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4" w:customStyle="1">
    <w:name w:val="List Table 3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5">
    <w:name w:val="List Table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6" w:customStyle="1">
    <w:name w:val="List Table 4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7" w:customStyle="1">
    <w:name w:val="List Table 4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8" w:customStyle="1">
    <w:name w:val="List Table 4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9" w:customStyle="1">
    <w:name w:val="List Table 4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0" w:customStyle="1">
    <w:name w:val="List Table 4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1" w:customStyle="1">
    <w:name w:val="List Table 4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2">
    <w:name w:val="List Table 5 Dark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3" w:customStyle="1">
    <w:name w:val="List Table 5 Dark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4" w:customStyle="1">
    <w:name w:val="List Table 5 Dark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5" w:customStyle="1">
    <w:name w:val="List Table 5 Dark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6" w:customStyle="1">
    <w:name w:val="List Table 5 Dark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7" w:customStyle="1">
    <w:name w:val="List Table 5 Dark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8" w:customStyle="1">
    <w:name w:val="List Table 5 Dark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39">
    <w:name w:val="List Table 6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240" w:customStyle="1">
    <w:name w:val="List Table 6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241" w:customStyle="1">
    <w:name w:val="List Table 6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242" w:customStyle="1">
    <w:name w:val="List Table 6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243" w:customStyle="1">
    <w:name w:val="List Table 6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244" w:customStyle="1">
    <w:name w:val="List Table 6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245" w:customStyle="1">
    <w:name w:val="List Table 6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246">
    <w:name w:val="List Table 7 Colorful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47" w:customStyle="1">
    <w:name w:val="List Table 7 Colorful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48" w:customStyle="1">
    <w:name w:val="List Table 7 Colorful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49" w:customStyle="1">
    <w:name w:val="List Table 7 Colorful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0" w:customStyle="1">
    <w:name w:val="List Table 7 Colorful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1" w:customStyle="1">
    <w:name w:val="List Table 7 Colorful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2" w:customStyle="1">
    <w:name w:val="List Table 7 Colorful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3" w:customStyle="1">
    <w:name w:val="Lined - Accent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54" w:customStyle="1">
    <w:name w:val="Lined - Accent 1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55" w:customStyle="1">
    <w:name w:val="Lined - Accent 2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56" w:customStyle="1">
    <w:name w:val="Lined - Accent 3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57" w:customStyle="1">
    <w:name w:val="Lined - Accent 4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58" w:customStyle="1">
    <w:name w:val="Lined - Accent 5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59" w:customStyle="1">
    <w:name w:val="Lined - Accent 6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60" w:customStyle="1">
    <w:name w:val="Bordered &amp; Lined - Accent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61" w:customStyle="1">
    <w:name w:val="Bordered &amp; Lined - Accent 1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62" w:customStyle="1">
    <w:name w:val="Bordered &amp; Lined - Accent 2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63" w:customStyle="1">
    <w:name w:val="Bordered &amp; Lined - Accent 3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64" w:customStyle="1">
    <w:name w:val="Bordered &amp; Lined - Accent 4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65" w:customStyle="1">
    <w:name w:val="Bordered &amp; Lined - Accent 5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66" w:customStyle="1">
    <w:name w:val="Bordered &amp; Lined - Accent 6"/>
    <w:basedOn w:val="11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67" w:customStyle="1">
    <w:name w:val="Bordered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268" w:customStyle="1">
    <w:name w:val="Bordered - Accent 1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269" w:customStyle="1">
    <w:name w:val="Bordered - Accent 2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270" w:customStyle="1">
    <w:name w:val="Bordered - Accent 3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271" w:customStyle="1">
    <w:name w:val="Bordered - Accent 4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272" w:customStyle="1">
    <w:name w:val="Bordered - Accent 5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273" w:customStyle="1">
    <w:name w:val="Bordered - Accent 6"/>
    <w:basedOn w:val="11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274" w:customStyle="1">
    <w:name w:val="Footnote Text Char"/>
    <w:uiPriority w:val="99"/>
    <w:rPr>
      <w:sz w:val="18"/>
    </w:rPr>
  </w:style>
  <w:style w:type="character" w:styleId="1275" w:customStyle="1">
    <w:name w:val="Endnote Text Char"/>
    <w:uiPriority w:val="99"/>
    <w:rPr>
      <w:sz w:val="20"/>
    </w:rPr>
  </w:style>
  <w:style w:type="character" w:styleId="1276">
    <w:name w:val="endnote reference"/>
    <w:basedOn w:val="1126"/>
    <w:uiPriority w:val="99"/>
    <w:semiHidden/>
    <w:unhideWhenUsed/>
    <w:rPr>
      <w:vertAlign w:val="superscript"/>
    </w:rPr>
  </w:style>
  <w:style w:type="paragraph" w:styleId="1277">
    <w:name w:val="TOC Heading"/>
    <w:uiPriority w:val="39"/>
    <w:unhideWhenUsed/>
  </w:style>
  <w:style w:type="paragraph" w:styleId="1278">
    <w:name w:val="table of figures"/>
    <w:basedOn w:val="1116"/>
    <w:next w:val="1116"/>
    <w:uiPriority w:val="99"/>
    <w:unhideWhenUsed/>
    <w:pPr>
      <w:spacing w:after="0"/>
    </w:pPr>
  </w:style>
  <w:style w:type="character" w:styleId="1279" w:customStyle="1">
    <w:name w:val="Заголовок 1 Знак1"/>
    <w:link w:val="1117"/>
    <w:uiPriority w:val="9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280" w:customStyle="1">
    <w:name w:val="Заголовок 2 Знак"/>
    <w:basedOn w:val="1126"/>
    <w:link w:val="1118"/>
    <w:rPr>
      <w:rFonts w:ascii="Times New Roman" w:hAnsi="Times New Roman" w:eastAsia="Times New Roman" w:cs="Times New Roman"/>
      <w:b/>
      <w:bCs/>
      <w:sz w:val="30"/>
      <w:szCs w:val="30"/>
      <w:lang w:eastAsia="ru-RU"/>
    </w:rPr>
  </w:style>
  <w:style w:type="character" w:styleId="1281" w:customStyle="1">
    <w:name w:val="Заголовок 3 Знак"/>
    <w:basedOn w:val="1126"/>
    <w:link w:val="1119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1282" w:customStyle="1">
    <w:name w:val="Заголовок 4 Знак"/>
    <w:basedOn w:val="1126"/>
    <w:link w:val="1120"/>
    <w:uiPriority w:val="99"/>
    <w:rPr>
      <w:rFonts w:ascii="Arial" w:hAnsi="Arial" w:eastAsia="Times New Roman" w:cs="Arial"/>
      <w:sz w:val="24"/>
      <w:szCs w:val="24"/>
      <w:lang w:eastAsia="ru-RU"/>
    </w:rPr>
  </w:style>
  <w:style w:type="character" w:styleId="1283" w:customStyle="1">
    <w:name w:val="Заголовок 5 Знак"/>
    <w:basedOn w:val="1126"/>
    <w:link w:val="1121"/>
    <w:uiPriority w:val="99"/>
    <w:rPr>
      <w:rFonts w:ascii="Calibri" w:hAnsi="Calibri" w:eastAsia="Times New Roman" w:cs="Calibri"/>
      <w:b/>
      <w:bCs/>
      <w:i/>
      <w:iCs/>
      <w:sz w:val="26"/>
      <w:szCs w:val="26"/>
      <w:lang w:eastAsia="ru-RU"/>
    </w:rPr>
  </w:style>
  <w:style w:type="character" w:styleId="1284" w:customStyle="1">
    <w:name w:val="Заголовок 6 Знак"/>
    <w:basedOn w:val="1126"/>
    <w:link w:val="1122"/>
    <w:uiPriority w:val="99"/>
    <w:rPr>
      <w:rFonts w:ascii="Times New Roman" w:hAnsi="Times New Roman" w:eastAsia="Times New Roman" w:cs="Times New Roman"/>
      <w:i/>
      <w:iCs/>
      <w:sz w:val="20"/>
      <w:szCs w:val="20"/>
      <w:lang w:eastAsia="ru-RU"/>
    </w:rPr>
  </w:style>
  <w:style w:type="character" w:styleId="1285" w:customStyle="1">
    <w:name w:val="Заголовок 7 Знак"/>
    <w:basedOn w:val="1126"/>
    <w:link w:val="1123"/>
    <w:uiPriority w:val="99"/>
    <w:rPr>
      <w:rFonts w:ascii="Arial" w:hAnsi="Arial" w:eastAsia="Times New Roman" w:cs="Arial"/>
      <w:sz w:val="20"/>
      <w:szCs w:val="20"/>
      <w:lang w:eastAsia="ru-RU"/>
    </w:rPr>
  </w:style>
  <w:style w:type="character" w:styleId="1286" w:customStyle="1">
    <w:name w:val="Заголовок 8 Знак"/>
    <w:basedOn w:val="1126"/>
    <w:link w:val="1124"/>
    <w:uiPriority w:val="99"/>
    <w:rPr>
      <w:rFonts w:ascii="Arial" w:hAnsi="Arial" w:eastAsia="Times New Roman" w:cs="Arial"/>
      <w:i/>
      <w:iCs/>
      <w:sz w:val="20"/>
      <w:szCs w:val="20"/>
      <w:lang w:eastAsia="ru-RU"/>
    </w:rPr>
  </w:style>
  <w:style w:type="character" w:styleId="1287" w:customStyle="1">
    <w:name w:val="Заголовок 9 Знак"/>
    <w:basedOn w:val="1126"/>
    <w:link w:val="1125"/>
    <w:uiPriority w:val="99"/>
    <w:rPr>
      <w:rFonts w:ascii="Arial" w:hAnsi="Arial" w:eastAsia="Times New Roman" w:cs="Arial"/>
      <w:b/>
      <w:bCs/>
      <w:i/>
      <w:iCs/>
      <w:sz w:val="18"/>
      <w:szCs w:val="18"/>
      <w:lang w:eastAsia="ru-RU"/>
    </w:rPr>
  </w:style>
  <w:style w:type="character" w:styleId="1288" w:customStyle="1">
    <w:name w:val="Заголовок 1 Знак"/>
    <w:basedOn w:val="1126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1289" w:customStyle="1">
    <w:name w:val="Основной текст с отступом1"/>
    <w:basedOn w:val="1116"/>
    <w:uiPriority w:val="99"/>
    <w:pPr>
      <w:ind w:firstLine="851"/>
      <w:spacing w:before="60" w:after="0"/>
    </w:pPr>
  </w:style>
  <w:style w:type="paragraph" w:styleId="1290">
    <w:name w:val="Body Text Indent"/>
    <w:basedOn w:val="1116"/>
    <w:link w:val="1291"/>
    <w:uiPriority w:val="99"/>
    <w:pPr>
      <w:numPr>
        <w:ilvl w:val="1"/>
        <w:numId w:val="2"/>
      </w:numPr>
    </w:pPr>
  </w:style>
  <w:style w:type="character" w:styleId="1291" w:customStyle="1">
    <w:name w:val="Основной текст с отступом Знак"/>
    <w:basedOn w:val="1126"/>
    <w:link w:val="129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2">
    <w:name w:val="List Bullet"/>
    <w:basedOn w:val="1116"/>
    <w:uiPriority w:val="99"/>
    <w:pPr>
      <w:widowControl w:val="off"/>
    </w:pPr>
  </w:style>
  <w:style w:type="paragraph" w:styleId="1293">
    <w:name w:val="List Bullet 2"/>
    <w:basedOn w:val="1116"/>
    <w:uiPriority w:val="99"/>
    <w:pPr>
      <w:ind w:left="643" w:hanging="360"/>
      <w:tabs>
        <w:tab w:val="num" w:pos="643" w:leader="none"/>
      </w:tabs>
    </w:pPr>
  </w:style>
  <w:style w:type="paragraph" w:styleId="1294">
    <w:name w:val="List Bullet 3"/>
    <w:basedOn w:val="1116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295">
    <w:name w:val="List Bullet 4"/>
    <w:basedOn w:val="1116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296">
    <w:name w:val="List Bullet 5"/>
    <w:basedOn w:val="1116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297">
    <w:name w:val="List Number"/>
    <w:basedOn w:val="1116"/>
    <w:uiPriority w:val="99"/>
    <w:pPr>
      <w:ind w:left="360" w:hanging="360"/>
      <w:tabs>
        <w:tab w:val="num" w:pos="1492" w:leader="none"/>
      </w:tabs>
    </w:pPr>
  </w:style>
  <w:style w:type="paragraph" w:styleId="1298">
    <w:name w:val="List Number 2"/>
    <w:basedOn w:val="1116"/>
    <w:uiPriority w:val="99"/>
    <w:pPr>
      <w:ind w:left="643" w:hanging="360"/>
      <w:tabs>
        <w:tab w:val="num" w:pos="643" w:leader="none"/>
      </w:tabs>
    </w:pPr>
  </w:style>
  <w:style w:type="paragraph" w:styleId="1299">
    <w:name w:val="List Number 3"/>
    <w:basedOn w:val="1116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300">
    <w:name w:val="List Number 4"/>
    <w:basedOn w:val="1116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301">
    <w:name w:val="List Number 5"/>
    <w:basedOn w:val="1116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302">
    <w:name w:val="Title"/>
    <w:basedOn w:val="1116"/>
    <w:link w:val="1303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303" w:customStyle="1">
    <w:name w:val="Заголовок Знак"/>
    <w:basedOn w:val="1126"/>
    <w:link w:val="1302"/>
    <w:uiPriority w:val="99"/>
    <w:rPr>
      <w:rFonts w:ascii="Cambria" w:hAnsi="Cambria" w:eastAsia="Times New Roman" w:cs="Cambria"/>
      <w:b/>
      <w:bCs/>
      <w:sz w:val="32"/>
      <w:szCs w:val="32"/>
      <w:lang w:eastAsia="ru-RU"/>
    </w:rPr>
  </w:style>
  <w:style w:type="paragraph" w:styleId="1304">
    <w:name w:val="Subtitle"/>
    <w:basedOn w:val="1116"/>
    <w:link w:val="1305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305" w:customStyle="1">
    <w:name w:val="Подзаголовок Знак"/>
    <w:basedOn w:val="1126"/>
    <w:link w:val="1304"/>
    <w:uiPriority w:val="99"/>
    <w:rPr>
      <w:rFonts w:ascii="Cambria" w:hAnsi="Cambria" w:eastAsia="Times New Roman" w:cs="Cambria"/>
      <w:sz w:val="24"/>
      <w:szCs w:val="24"/>
      <w:lang w:eastAsia="ru-RU"/>
    </w:rPr>
  </w:style>
  <w:style w:type="paragraph" w:styleId="1306">
    <w:name w:val="toc 3"/>
    <w:basedOn w:val="1116"/>
    <w:next w:val="1116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307">
    <w:name w:val="toc 1"/>
    <w:basedOn w:val="1116"/>
    <w:next w:val="1116"/>
    <w:uiPriority w:val="39"/>
    <w:pPr>
      <w:jc w:val="left"/>
      <w:spacing w:before="120" w:after="120"/>
      <w:tabs>
        <w:tab w:val="left" w:pos="709" w:leader="none"/>
        <w:tab w:val="right" w:pos="10195" w:leader="dot"/>
      </w:tabs>
    </w:pPr>
    <w:rPr>
      <w:b/>
      <w:bCs/>
      <w:caps/>
      <w:sz w:val="20"/>
      <w:szCs w:val="20"/>
    </w:rPr>
  </w:style>
  <w:style w:type="paragraph" w:styleId="1308">
    <w:name w:val="toc 2"/>
    <w:basedOn w:val="1116"/>
    <w:next w:val="1116"/>
    <w:uiPriority w:val="39"/>
    <w:pPr>
      <w:jc w:val="left"/>
      <w:spacing w:after="0"/>
      <w:tabs>
        <w:tab w:val="left" w:pos="960" w:leader="none"/>
        <w:tab w:val="right" w:pos="10195" w:leader="dot"/>
      </w:tabs>
    </w:pPr>
    <w:rPr>
      <w:smallCaps/>
      <w:sz w:val="20"/>
      <w:szCs w:val="20"/>
    </w:rPr>
  </w:style>
  <w:style w:type="paragraph" w:styleId="1309">
    <w:name w:val="Date"/>
    <w:basedOn w:val="1116"/>
    <w:next w:val="1116"/>
    <w:link w:val="1310"/>
    <w:uiPriority w:val="99"/>
  </w:style>
  <w:style w:type="character" w:styleId="1310" w:customStyle="1">
    <w:name w:val="Дата Знак"/>
    <w:basedOn w:val="1126"/>
    <w:link w:val="130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1">
    <w:name w:val="Body Text"/>
    <w:basedOn w:val="1116"/>
    <w:link w:val="1312"/>
    <w:uiPriority w:val="99"/>
    <w:pPr>
      <w:spacing w:after="120"/>
    </w:pPr>
  </w:style>
  <w:style w:type="character" w:styleId="1312" w:customStyle="1">
    <w:name w:val="Основной текст Знак"/>
    <w:basedOn w:val="1126"/>
    <w:link w:val="131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3">
    <w:name w:val="Body Text Indent 2"/>
    <w:basedOn w:val="1116"/>
    <w:link w:val="1314"/>
    <w:uiPriority w:val="99"/>
    <w:pPr>
      <w:ind w:left="283"/>
      <w:spacing w:after="120" w:line="480" w:lineRule="auto"/>
    </w:pPr>
  </w:style>
  <w:style w:type="character" w:styleId="1314" w:customStyle="1">
    <w:name w:val="Основной текст с отступом 2 Знак"/>
    <w:basedOn w:val="1126"/>
    <w:link w:val="131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5">
    <w:name w:val="Body Text Indent 3"/>
    <w:basedOn w:val="1116"/>
    <w:link w:val="1316"/>
    <w:uiPriority w:val="99"/>
    <w:pPr>
      <w:ind w:left="283"/>
      <w:spacing w:after="120"/>
    </w:pPr>
    <w:rPr>
      <w:sz w:val="16"/>
      <w:szCs w:val="16"/>
    </w:rPr>
  </w:style>
  <w:style w:type="character" w:styleId="1316" w:customStyle="1">
    <w:name w:val="Основной текст с отступом 3 Знак"/>
    <w:basedOn w:val="1126"/>
    <w:link w:val="1315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17">
    <w:name w:val="Header"/>
    <w:basedOn w:val="1116"/>
    <w:link w:val="1318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318" w:customStyle="1">
    <w:name w:val="Верхний колонтитул Знак"/>
    <w:basedOn w:val="1126"/>
    <w:link w:val="131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9">
    <w:name w:val="Block Text"/>
    <w:basedOn w:val="1116"/>
    <w:uiPriority w:val="99"/>
    <w:pPr>
      <w:ind w:left="1440" w:right="1440"/>
      <w:spacing w:after="120"/>
    </w:pPr>
  </w:style>
  <w:style w:type="character" w:styleId="1320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321">
    <w:name w:val="footnote text"/>
    <w:basedOn w:val="1116"/>
    <w:link w:val="1322"/>
    <w:uiPriority w:val="99"/>
    <w:rPr>
      <w:sz w:val="20"/>
      <w:szCs w:val="20"/>
    </w:rPr>
  </w:style>
  <w:style w:type="character" w:styleId="1322" w:customStyle="1">
    <w:name w:val="Текст сноски Знак"/>
    <w:basedOn w:val="1126"/>
    <w:link w:val="132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23">
    <w:name w:val="page number"/>
    <w:uiPriority w:val="99"/>
    <w:rPr>
      <w:rFonts w:ascii="Times New Roman" w:hAnsi="Times New Roman" w:cs="Times New Roman"/>
    </w:rPr>
  </w:style>
  <w:style w:type="paragraph" w:styleId="1324">
    <w:name w:val="Footer"/>
    <w:basedOn w:val="1116"/>
    <w:link w:val="1325"/>
    <w:uiPriority w:val="99"/>
    <w:pPr>
      <w:tabs>
        <w:tab w:val="center" w:pos="4153" w:leader="none"/>
        <w:tab w:val="right" w:pos="8306" w:leader="none"/>
      </w:tabs>
    </w:pPr>
  </w:style>
  <w:style w:type="character" w:styleId="1325" w:customStyle="1">
    <w:name w:val="Нижний колонтитул Знак"/>
    <w:basedOn w:val="1126"/>
    <w:link w:val="132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26">
    <w:name w:val="Body Text 3"/>
    <w:basedOn w:val="1116"/>
    <w:link w:val="1327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327" w:customStyle="1">
    <w:name w:val="Основной текст 3 Знак"/>
    <w:basedOn w:val="1126"/>
    <w:link w:val="1326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28">
    <w:name w:val="Plain Text"/>
    <w:basedOn w:val="1116"/>
    <w:link w:val="1329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329" w:customStyle="1">
    <w:name w:val="Текст Знак"/>
    <w:basedOn w:val="1126"/>
    <w:link w:val="1328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30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331">
    <w:name w:val="Normal (Web)"/>
    <w:basedOn w:val="1116"/>
    <w:uiPriority w:val="99"/>
    <w:pPr>
      <w:jc w:val="left"/>
      <w:spacing w:before="100" w:beforeAutospacing="1" w:after="100" w:afterAutospacing="1"/>
    </w:pPr>
  </w:style>
  <w:style w:type="paragraph" w:styleId="1332">
    <w:name w:val="HTML Address"/>
    <w:basedOn w:val="1116"/>
    <w:link w:val="1333"/>
    <w:uiPriority w:val="99"/>
    <w:rPr>
      <w:i/>
      <w:iCs/>
    </w:rPr>
  </w:style>
  <w:style w:type="character" w:styleId="1333" w:customStyle="1">
    <w:name w:val="Адрес HTML Знак"/>
    <w:basedOn w:val="1126"/>
    <w:link w:val="1332"/>
    <w:uiPriority w:val="99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34">
    <w:name w:val="envelope address"/>
    <w:basedOn w:val="1116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335">
    <w:name w:val="HTML Acronym"/>
    <w:basedOn w:val="1126"/>
    <w:uiPriority w:val="99"/>
  </w:style>
  <w:style w:type="character" w:styleId="1336">
    <w:name w:val="Emphasis"/>
    <w:uiPriority w:val="99"/>
    <w:qFormat/>
    <w:rPr>
      <w:i/>
      <w:iCs/>
    </w:rPr>
  </w:style>
  <w:style w:type="character" w:styleId="1337">
    <w:name w:val="Hyperlink"/>
    <w:uiPriority w:val="99"/>
    <w:rPr>
      <w:color w:val="0000ff"/>
      <w:u w:val="single"/>
    </w:rPr>
  </w:style>
  <w:style w:type="paragraph" w:styleId="1338">
    <w:name w:val="Note Heading"/>
    <w:basedOn w:val="1116"/>
    <w:next w:val="1116"/>
    <w:link w:val="1339"/>
    <w:uiPriority w:val="99"/>
  </w:style>
  <w:style w:type="character" w:styleId="1339" w:customStyle="1">
    <w:name w:val="Заголовок записки Знак"/>
    <w:basedOn w:val="1126"/>
    <w:link w:val="133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40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341">
    <w:name w:val="HTML Code"/>
    <w:uiPriority w:val="99"/>
    <w:rPr>
      <w:rFonts w:ascii="Courier New" w:hAnsi="Courier New" w:cs="Courier New"/>
      <w:sz w:val="20"/>
      <w:szCs w:val="20"/>
    </w:rPr>
  </w:style>
  <w:style w:type="paragraph" w:styleId="1342">
    <w:name w:val="Body Text First Indent"/>
    <w:basedOn w:val="1311"/>
    <w:link w:val="1343"/>
    <w:uiPriority w:val="99"/>
    <w:pPr>
      <w:ind w:firstLine="210"/>
    </w:pPr>
  </w:style>
  <w:style w:type="character" w:styleId="1343" w:customStyle="1">
    <w:name w:val="Красная строка Знак"/>
    <w:basedOn w:val="1312"/>
    <w:link w:val="134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44">
    <w:name w:val="Body Text First Indent 2"/>
    <w:basedOn w:val="1289"/>
    <w:link w:val="1345"/>
    <w:uiPriority w:val="99"/>
    <w:pPr>
      <w:ind w:left="283" w:firstLine="210"/>
      <w:spacing w:before="0" w:after="120"/>
    </w:pPr>
  </w:style>
  <w:style w:type="character" w:styleId="1345" w:customStyle="1">
    <w:name w:val="Красная строка 2 Знак"/>
    <w:basedOn w:val="1291"/>
    <w:link w:val="134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46">
    <w:name w:val="line number"/>
    <w:basedOn w:val="1126"/>
    <w:uiPriority w:val="99"/>
  </w:style>
  <w:style w:type="character" w:styleId="1347">
    <w:name w:val="HTML Sample"/>
    <w:uiPriority w:val="99"/>
    <w:rPr>
      <w:rFonts w:ascii="Courier New" w:hAnsi="Courier New" w:cs="Courier New"/>
    </w:rPr>
  </w:style>
  <w:style w:type="paragraph" w:styleId="1348">
    <w:name w:val="envelope return"/>
    <w:basedOn w:val="1116"/>
    <w:uiPriority w:val="99"/>
    <w:rPr>
      <w:rFonts w:ascii="Arial" w:hAnsi="Arial" w:cs="Arial"/>
      <w:sz w:val="20"/>
      <w:szCs w:val="20"/>
    </w:rPr>
  </w:style>
  <w:style w:type="paragraph" w:styleId="1349">
    <w:name w:val="Normal Indent"/>
    <w:basedOn w:val="1116"/>
    <w:uiPriority w:val="99"/>
    <w:pPr>
      <w:ind w:left="708"/>
    </w:pPr>
  </w:style>
  <w:style w:type="character" w:styleId="1350">
    <w:name w:val="HTML Definition"/>
    <w:uiPriority w:val="99"/>
    <w:rPr>
      <w:i/>
      <w:iCs/>
    </w:rPr>
  </w:style>
  <w:style w:type="character" w:styleId="1351">
    <w:name w:val="HTML Variable"/>
    <w:uiPriority w:val="99"/>
    <w:rPr>
      <w:i/>
      <w:iCs/>
    </w:rPr>
  </w:style>
  <w:style w:type="character" w:styleId="1352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353">
    <w:name w:val="Signature"/>
    <w:basedOn w:val="1116"/>
    <w:link w:val="1354"/>
    <w:uiPriority w:val="99"/>
    <w:pPr>
      <w:ind w:left="4252"/>
    </w:pPr>
  </w:style>
  <w:style w:type="character" w:styleId="1354" w:customStyle="1">
    <w:name w:val="Подпись Знак"/>
    <w:basedOn w:val="1126"/>
    <w:link w:val="135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5">
    <w:name w:val="Salutation"/>
    <w:basedOn w:val="1116"/>
    <w:next w:val="1116"/>
    <w:link w:val="1356"/>
    <w:uiPriority w:val="99"/>
  </w:style>
  <w:style w:type="character" w:styleId="1356" w:customStyle="1">
    <w:name w:val="Приветствие Знак"/>
    <w:basedOn w:val="1126"/>
    <w:link w:val="13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7">
    <w:name w:val="List Continue"/>
    <w:basedOn w:val="1116"/>
    <w:uiPriority w:val="99"/>
    <w:pPr>
      <w:ind w:left="283"/>
      <w:spacing w:after="120"/>
    </w:pPr>
  </w:style>
  <w:style w:type="paragraph" w:styleId="1358">
    <w:name w:val="List Continue 2"/>
    <w:basedOn w:val="1116"/>
    <w:uiPriority w:val="99"/>
    <w:pPr>
      <w:ind w:left="566"/>
      <w:spacing w:after="120"/>
    </w:pPr>
  </w:style>
  <w:style w:type="paragraph" w:styleId="1359">
    <w:name w:val="List Continue 3"/>
    <w:basedOn w:val="1116"/>
    <w:uiPriority w:val="99"/>
    <w:pPr>
      <w:ind w:left="849"/>
      <w:spacing w:after="120"/>
    </w:pPr>
  </w:style>
  <w:style w:type="paragraph" w:styleId="1360">
    <w:name w:val="List Continue 4"/>
    <w:basedOn w:val="1116"/>
    <w:uiPriority w:val="99"/>
    <w:pPr>
      <w:ind w:left="1132"/>
      <w:spacing w:after="120"/>
    </w:pPr>
  </w:style>
  <w:style w:type="paragraph" w:styleId="1361">
    <w:name w:val="List Continue 5"/>
    <w:basedOn w:val="1116"/>
    <w:uiPriority w:val="99"/>
    <w:pPr>
      <w:ind w:left="1415"/>
      <w:spacing w:after="120"/>
    </w:pPr>
  </w:style>
  <w:style w:type="character" w:styleId="1362">
    <w:name w:val="FollowedHyperlink"/>
    <w:uiPriority w:val="99"/>
    <w:rPr>
      <w:color w:val="800080"/>
      <w:u w:val="single"/>
    </w:rPr>
  </w:style>
  <w:style w:type="paragraph" w:styleId="1363">
    <w:name w:val="Closing"/>
    <w:basedOn w:val="1116"/>
    <w:link w:val="1364"/>
    <w:uiPriority w:val="99"/>
    <w:pPr>
      <w:ind w:left="4252"/>
    </w:pPr>
  </w:style>
  <w:style w:type="character" w:styleId="1364" w:customStyle="1">
    <w:name w:val="Прощание Знак"/>
    <w:basedOn w:val="1126"/>
    <w:link w:val="136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5">
    <w:name w:val="List"/>
    <w:basedOn w:val="1116"/>
    <w:uiPriority w:val="99"/>
    <w:pPr>
      <w:ind w:left="283" w:hanging="283"/>
    </w:pPr>
  </w:style>
  <w:style w:type="paragraph" w:styleId="1366">
    <w:name w:val="List 2"/>
    <w:basedOn w:val="1116"/>
    <w:uiPriority w:val="99"/>
    <w:pPr>
      <w:ind w:left="566" w:hanging="283"/>
    </w:pPr>
  </w:style>
  <w:style w:type="paragraph" w:styleId="1367">
    <w:name w:val="List 3"/>
    <w:basedOn w:val="1116"/>
    <w:uiPriority w:val="99"/>
    <w:pPr>
      <w:ind w:left="849" w:hanging="283"/>
    </w:pPr>
  </w:style>
  <w:style w:type="paragraph" w:styleId="1368">
    <w:name w:val="List 4"/>
    <w:basedOn w:val="1116"/>
    <w:uiPriority w:val="99"/>
    <w:pPr>
      <w:ind w:left="1132" w:hanging="283"/>
    </w:pPr>
  </w:style>
  <w:style w:type="paragraph" w:styleId="1369">
    <w:name w:val="List 5"/>
    <w:basedOn w:val="1116"/>
    <w:uiPriority w:val="99"/>
    <w:pPr>
      <w:ind w:left="1415" w:hanging="283"/>
    </w:pPr>
  </w:style>
  <w:style w:type="paragraph" w:styleId="1370">
    <w:name w:val="HTML Preformatted"/>
    <w:basedOn w:val="1116"/>
    <w:link w:val="1371"/>
    <w:uiPriority w:val="99"/>
    <w:rPr>
      <w:rFonts w:ascii="Courier New" w:hAnsi="Courier New" w:cs="Courier New"/>
      <w:sz w:val="20"/>
      <w:szCs w:val="20"/>
    </w:rPr>
  </w:style>
  <w:style w:type="character" w:styleId="1371" w:customStyle="1">
    <w:name w:val="Стандартный HTML Знак"/>
    <w:basedOn w:val="1126"/>
    <w:link w:val="1370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372">
    <w:name w:val="Strong"/>
    <w:uiPriority w:val="99"/>
    <w:qFormat/>
    <w:rPr>
      <w:b/>
      <w:bCs/>
    </w:rPr>
  </w:style>
  <w:style w:type="character" w:styleId="1373">
    <w:name w:val="HTML Cite"/>
    <w:uiPriority w:val="99"/>
    <w:rPr>
      <w:i/>
      <w:iCs/>
    </w:rPr>
  </w:style>
  <w:style w:type="paragraph" w:styleId="1374">
    <w:name w:val="Message Header"/>
    <w:basedOn w:val="1116"/>
    <w:link w:val="1375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375" w:customStyle="1">
    <w:name w:val="Шапка Знак"/>
    <w:basedOn w:val="1126"/>
    <w:link w:val="1374"/>
    <w:uiPriority w:val="99"/>
    <w:rPr>
      <w:rFonts w:ascii="Cambria" w:hAnsi="Cambria" w:eastAsia="Times New Roman" w:cs="Cambria"/>
      <w:sz w:val="24"/>
      <w:szCs w:val="24"/>
      <w:shd w:val="pct20" w:color="auto" w:fill="auto"/>
      <w:lang w:eastAsia="ru-RU"/>
    </w:rPr>
  </w:style>
  <w:style w:type="paragraph" w:styleId="1376">
    <w:name w:val="E-mail Signature"/>
    <w:basedOn w:val="1116"/>
    <w:link w:val="1377"/>
    <w:uiPriority w:val="99"/>
  </w:style>
  <w:style w:type="character" w:styleId="1377" w:customStyle="1">
    <w:name w:val="Электронная подпись Знак"/>
    <w:basedOn w:val="1126"/>
    <w:link w:val="137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8">
    <w:name w:val="toc 4"/>
    <w:basedOn w:val="1116"/>
    <w:next w:val="1116"/>
    <w:uiPriority w:val="39"/>
    <w:pPr>
      <w:ind w:left="720"/>
      <w:jc w:val="left"/>
      <w:spacing w:after="0"/>
    </w:pPr>
    <w:rPr>
      <w:sz w:val="18"/>
      <w:szCs w:val="18"/>
    </w:rPr>
  </w:style>
  <w:style w:type="paragraph" w:styleId="1379">
    <w:name w:val="toc 5"/>
    <w:basedOn w:val="1116"/>
    <w:next w:val="1116"/>
    <w:uiPriority w:val="39"/>
    <w:pPr>
      <w:ind w:left="960"/>
      <w:jc w:val="left"/>
      <w:spacing w:after="0"/>
    </w:pPr>
    <w:rPr>
      <w:sz w:val="18"/>
      <w:szCs w:val="18"/>
    </w:rPr>
  </w:style>
  <w:style w:type="paragraph" w:styleId="1380">
    <w:name w:val="toc 6"/>
    <w:basedOn w:val="1116"/>
    <w:next w:val="1116"/>
    <w:uiPriority w:val="39"/>
    <w:pPr>
      <w:ind w:left="1200"/>
      <w:jc w:val="left"/>
      <w:spacing w:after="0"/>
    </w:pPr>
    <w:rPr>
      <w:sz w:val="18"/>
      <w:szCs w:val="18"/>
    </w:rPr>
  </w:style>
  <w:style w:type="paragraph" w:styleId="1381">
    <w:name w:val="toc 7"/>
    <w:basedOn w:val="1116"/>
    <w:next w:val="1116"/>
    <w:uiPriority w:val="39"/>
    <w:pPr>
      <w:ind w:left="1440"/>
      <w:jc w:val="left"/>
      <w:spacing w:after="0"/>
    </w:pPr>
    <w:rPr>
      <w:sz w:val="18"/>
      <w:szCs w:val="18"/>
    </w:rPr>
  </w:style>
  <w:style w:type="paragraph" w:styleId="1382">
    <w:name w:val="toc 8"/>
    <w:basedOn w:val="1116"/>
    <w:next w:val="1116"/>
    <w:uiPriority w:val="39"/>
    <w:pPr>
      <w:ind w:left="1680"/>
      <w:jc w:val="left"/>
      <w:spacing w:after="0"/>
    </w:pPr>
    <w:rPr>
      <w:sz w:val="18"/>
      <w:szCs w:val="18"/>
    </w:rPr>
  </w:style>
  <w:style w:type="paragraph" w:styleId="1383">
    <w:name w:val="toc 9"/>
    <w:basedOn w:val="1116"/>
    <w:next w:val="1116"/>
    <w:uiPriority w:val="39"/>
    <w:pPr>
      <w:ind w:left="1920"/>
      <w:jc w:val="left"/>
      <w:spacing w:after="0"/>
    </w:pPr>
    <w:rPr>
      <w:sz w:val="18"/>
      <w:szCs w:val="18"/>
    </w:rPr>
  </w:style>
  <w:style w:type="paragraph" w:styleId="1384" w:customStyle="1">
    <w:name w:val="Стиль1"/>
    <w:basedOn w:val="1116"/>
    <w:pPr>
      <w:numPr>
        <w:ilvl w:val="0"/>
        <w:numId w:val="3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385" w:customStyle="1">
    <w:name w:val="содержание2-1"/>
    <w:basedOn w:val="1119"/>
    <w:next w:val="1116"/>
    <w:uiPriority w:val="99"/>
  </w:style>
  <w:style w:type="paragraph" w:styleId="1386" w:customStyle="1">
    <w:name w:val="Заголовок 2.1"/>
    <w:basedOn w:val="1117"/>
    <w:uiPriority w:val="99"/>
    <w:pPr>
      <w:keepLines/>
      <w:widowControl w:val="off"/>
      <w:suppressLineNumbers/>
    </w:pPr>
    <w:rPr>
      <w:caps/>
    </w:rPr>
  </w:style>
  <w:style w:type="paragraph" w:styleId="1387" w:customStyle="1">
    <w:name w:val="Стиль2"/>
    <w:basedOn w:val="1298"/>
    <w:uiPriority w:val="99"/>
    <w:pPr>
      <w:numPr>
        <w:ilvl w:val="1"/>
        <w:numId w:val="3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388" w:customStyle="1">
    <w:name w:val="Стиль3"/>
    <w:basedOn w:val="1313"/>
    <w:pPr>
      <w:numPr>
        <w:ilvl w:val="2"/>
        <w:numId w:val="3"/>
      </w:numPr>
      <w:spacing w:after="0" w:line="240" w:lineRule="auto"/>
      <w:widowControl w:val="off"/>
    </w:pPr>
  </w:style>
  <w:style w:type="paragraph" w:styleId="1389" w:customStyle="1">
    <w:name w:val="содержание2-11"/>
    <w:basedOn w:val="1116"/>
    <w:uiPriority w:val="99"/>
  </w:style>
  <w:style w:type="character" w:styleId="1390" w:customStyle="1">
    <w:name w:val="Знак Знак1"/>
    <w:uiPriority w:val="99"/>
    <w:rPr>
      <w:sz w:val="24"/>
      <w:szCs w:val="24"/>
      <w:lang w:val="ru-RU" w:eastAsia="ru-RU"/>
    </w:rPr>
  </w:style>
  <w:style w:type="character" w:styleId="1391" w:customStyle="1">
    <w:name w:val="Стиль3 Знак"/>
    <w:uiPriority w:val="99"/>
    <w:rPr>
      <w:sz w:val="24"/>
      <w:szCs w:val="24"/>
      <w:lang w:val="ru-RU" w:eastAsia="ru-RU"/>
    </w:rPr>
  </w:style>
  <w:style w:type="paragraph" w:styleId="1392" w:customStyle="1">
    <w:name w:val="Стиль4"/>
    <w:basedOn w:val="1118"/>
    <w:next w:val="1116"/>
    <w:uiPriority w:val="99"/>
    <w:pPr>
      <w:ind w:firstLine="567"/>
      <w:keepLines/>
      <w:widowControl w:val="off"/>
      <w:suppressLineNumbers/>
    </w:pPr>
  </w:style>
  <w:style w:type="paragraph" w:styleId="1393" w:customStyle="1">
    <w:name w:val="Таблица заголовок"/>
    <w:basedOn w:val="1116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394" w:customStyle="1">
    <w:name w:val="текст таблицы"/>
    <w:basedOn w:val="1116"/>
    <w:uiPriority w:val="99"/>
    <w:pPr>
      <w:ind w:right="-102"/>
      <w:jc w:val="left"/>
      <w:spacing w:before="120" w:after="0"/>
    </w:pPr>
  </w:style>
  <w:style w:type="paragraph" w:styleId="1395" w:customStyle="1">
    <w:name w:val="Пункт Знак"/>
    <w:basedOn w:val="1116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396" w:customStyle="1">
    <w:name w:val="a"/>
    <w:basedOn w:val="1116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397" w:customStyle="1">
    <w:name w:val="Словарная статья"/>
    <w:basedOn w:val="1116"/>
    <w:next w:val="1116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398" w:customStyle="1">
    <w:name w:val="Комментарий пользователя"/>
    <w:basedOn w:val="1116"/>
    <w:next w:val="1116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399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400" w:customStyle="1">
    <w:name w:val="Текст выноски Знак"/>
    <w:basedOn w:val="1126"/>
    <w:link w:val="1401"/>
    <w:uiPriority w:val="99"/>
    <w:semiHidden/>
    <w:rPr>
      <w:rFonts w:ascii="Times New Roman" w:hAnsi="Times New Roman" w:eastAsia="Times New Roman" w:cs="Times New Roman"/>
      <w:sz w:val="20"/>
      <w:szCs w:val="2"/>
      <w:lang w:eastAsia="ru-RU"/>
    </w:rPr>
  </w:style>
  <w:style w:type="paragraph" w:styleId="1401">
    <w:name w:val="Balloon Text"/>
    <w:basedOn w:val="1116"/>
    <w:link w:val="1400"/>
    <w:uiPriority w:val="99"/>
    <w:semiHidden/>
    <w:rPr>
      <w:sz w:val="20"/>
      <w:szCs w:val="2"/>
    </w:rPr>
  </w:style>
  <w:style w:type="character" w:styleId="1402" w:customStyle="1">
    <w:name w:val="label_body_text_1"/>
    <w:uiPriority w:val="99"/>
  </w:style>
  <w:style w:type="paragraph" w:styleId="1403" w:customStyle="1">
    <w:name w:val="Заголовок 1.Document Header1"/>
    <w:basedOn w:val="1116"/>
    <w:next w:val="1116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404" w:customStyle="1">
    <w:name w:val="ConsPlusNormal"/>
    <w:link w:val="1471"/>
    <w:qFormat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405" w:customStyle="1">
    <w:name w:val="Знак Знак11"/>
    <w:uiPriority w:val="99"/>
    <w:rPr>
      <w:sz w:val="24"/>
      <w:szCs w:val="24"/>
      <w:lang w:val="ru-RU" w:eastAsia="ru-RU"/>
    </w:rPr>
  </w:style>
  <w:style w:type="character" w:styleId="1406" w:customStyle="1">
    <w:name w:val="Текст примечания Знак"/>
    <w:basedOn w:val="1126"/>
    <w:link w:val="140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07">
    <w:name w:val="annotation text"/>
    <w:basedOn w:val="1116"/>
    <w:link w:val="1406"/>
    <w:uiPriority w:val="99"/>
    <w:semiHidden/>
    <w:rPr>
      <w:sz w:val="20"/>
      <w:szCs w:val="20"/>
    </w:rPr>
  </w:style>
  <w:style w:type="character" w:styleId="1408" w:customStyle="1">
    <w:name w:val="Тема примечания Знак"/>
    <w:basedOn w:val="1406"/>
    <w:link w:val="140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409">
    <w:name w:val="annotation subject"/>
    <w:basedOn w:val="1407"/>
    <w:next w:val="1407"/>
    <w:link w:val="1408"/>
    <w:uiPriority w:val="99"/>
    <w:semiHidden/>
    <w:rPr>
      <w:b/>
      <w:bCs/>
    </w:rPr>
  </w:style>
  <w:style w:type="paragraph" w:styleId="1410" w:customStyle="1">
    <w:name w:val="20"/>
    <w:basedOn w:val="1116"/>
    <w:uiPriority w:val="99"/>
    <w:pPr>
      <w:ind w:left="104" w:right="104"/>
      <w:jc w:val="left"/>
      <w:spacing w:before="104" w:after="104"/>
    </w:pPr>
  </w:style>
  <w:style w:type="paragraph" w:styleId="1411" w:customStyle="1">
    <w:name w:val="Пункт"/>
    <w:basedOn w:val="1116"/>
    <w:link w:val="1412"/>
    <w:pPr>
      <w:ind w:left="1404" w:hanging="504"/>
      <w:spacing w:after="0"/>
      <w:tabs>
        <w:tab w:val="num" w:pos="1980" w:leader="none"/>
      </w:tabs>
    </w:pPr>
  </w:style>
  <w:style w:type="character" w:styleId="1412" w:customStyle="1">
    <w:name w:val="Пункт Знак1"/>
    <w:link w:val="141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13" w:customStyle="1">
    <w:name w:val="Подпункт"/>
    <w:basedOn w:val="1411"/>
    <w:link w:val="1414"/>
    <w:pPr>
      <w:ind w:left="1728" w:hanging="648"/>
      <w:tabs>
        <w:tab w:val="clear" w:pos="1980" w:leader="none"/>
        <w:tab w:val="num" w:pos="2520" w:leader="none"/>
      </w:tabs>
    </w:pPr>
  </w:style>
  <w:style w:type="character" w:styleId="1414" w:customStyle="1">
    <w:name w:val="Подпункт Знак1"/>
    <w:link w:val="141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15" w:customStyle="1">
    <w:name w:val="Схема документа Знак"/>
    <w:basedOn w:val="1126"/>
    <w:link w:val="1416"/>
    <w:uiPriority w:val="99"/>
    <w:semiHidden/>
    <w:rPr>
      <w:rFonts w:ascii="Times New Roman" w:hAnsi="Times New Roman" w:eastAsia="Times New Roman" w:cs="Times New Roman"/>
      <w:sz w:val="2"/>
      <w:szCs w:val="2"/>
      <w:shd w:val="clear" w:color="auto" w:fill="000080"/>
      <w:lang w:eastAsia="ru-RU"/>
    </w:rPr>
  </w:style>
  <w:style w:type="paragraph" w:styleId="1416">
    <w:name w:val="Document Map"/>
    <w:basedOn w:val="1116"/>
    <w:link w:val="1415"/>
    <w:uiPriority w:val="99"/>
    <w:semiHidden/>
    <w:pPr>
      <w:shd w:val="clear" w:color="auto" w:fill="000080"/>
    </w:pPr>
    <w:rPr>
      <w:sz w:val="2"/>
      <w:szCs w:val="2"/>
    </w:rPr>
  </w:style>
  <w:style w:type="paragraph" w:styleId="1417" w:customStyle="1">
    <w:name w:val="Таблица шапка"/>
    <w:basedOn w:val="1116"/>
    <w:link w:val="1418"/>
    <w:pPr>
      <w:ind w:left="57" w:right="57"/>
      <w:jc w:val="left"/>
      <w:keepNext/>
      <w:spacing w:before="40" w:after="40"/>
    </w:pPr>
    <w:rPr>
      <w:sz w:val="18"/>
      <w:szCs w:val="18"/>
    </w:rPr>
  </w:style>
  <w:style w:type="character" w:styleId="1418" w:customStyle="1">
    <w:name w:val="Таблица шапка Знак"/>
    <w:link w:val="1417"/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419" w:customStyle="1">
    <w:name w:val="Таблица текст"/>
    <w:basedOn w:val="1116"/>
    <w:link w:val="1420"/>
    <w:pPr>
      <w:ind w:left="57" w:right="57"/>
      <w:jc w:val="left"/>
      <w:spacing w:before="40" w:after="40"/>
    </w:pPr>
    <w:rPr>
      <w:sz w:val="22"/>
      <w:szCs w:val="22"/>
    </w:rPr>
  </w:style>
  <w:style w:type="character" w:styleId="1420" w:customStyle="1">
    <w:name w:val="Таблица текст Знак"/>
    <w:link w:val="1419"/>
    <w:rPr>
      <w:rFonts w:ascii="Times New Roman" w:hAnsi="Times New Roman" w:eastAsia="Times New Roman" w:cs="Times New Roman"/>
      <w:lang w:eastAsia="ru-RU"/>
    </w:rPr>
  </w:style>
  <w:style w:type="paragraph" w:styleId="1421" w:customStyle="1">
    <w:name w:val="пункт"/>
    <w:basedOn w:val="1116"/>
    <w:uiPriority w:val="99"/>
    <w:pPr>
      <w:numPr>
        <w:ilvl w:val="2"/>
        <w:numId w:val="5"/>
      </w:numPr>
      <w:jc w:val="left"/>
      <w:spacing w:before="60"/>
    </w:pPr>
  </w:style>
  <w:style w:type="character" w:styleId="1422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423" w:customStyle="1">
    <w:name w:val="Обычный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4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425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6">
    <w:name w:val="endnote text"/>
    <w:basedOn w:val="1116"/>
    <w:link w:val="1427"/>
    <w:uiPriority w:val="99"/>
    <w:rPr>
      <w:sz w:val="20"/>
      <w:szCs w:val="20"/>
    </w:rPr>
  </w:style>
  <w:style w:type="character" w:styleId="1427" w:customStyle="1">
    <w:name w:val="Текст концевой сноски Знак"/>
    <w:basedOn w:val="1126"/>
    <w:link w:val="142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28" w:customStyle="1">
    <w:name w:val="Основной текст с отступом11"/>
    <w:basedOn w:val="1116"/>
    <w:uiPriority w:val="99"/>
    <w:pPr>
      <w:ind w:firstLine="851"/>
      <w:spacing w:before="60" w:after="0"/>
    </w:pPr>
  </w:style>
  <w:style w:type="character" w:styleId="1429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430">
    <w:name w:val="List Paragraph"/>
    <w:basedOn w:val="1116"/>
    <w:link w:val="1431"/>
    <w:uiPriority w:val="34"/>
    <w:qFormat/>
    <w:pPr>
      <w:ind w:left="720"/>
      <w:jc w:val="left"/>
      <w:spacing w:after="0"/>
    </w:pPr>
  </w:style>
  <w:style w:type="character" w:styleId="1431" w:customStyle="1">
    <w:name w:val="Абзац списка Знак"/>
    <w:basedOn w:val="1126"/>
    <w:link w:val="1430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32" w:customStyle="1">
    <w:name w:val="f"/>
    <w:basedOn w:val="1126"/>
  </w:style>
  <w:style w:type="character" w:styleId="1433" w:customStyle="1">
    <w:name w:val="r"/>
    <w:basedOn w:val="1126"/>
  </w:style>
  <w:style w:type="paragraph" w:styleId="1434">
    <w:name w:val="Body Text 2"/>
    <w:basedOn w:val="1116"/>
    <w:link w:val="1435"/>
    <w:pPr>
      <w:spacing w:after="120" w:line="480" w:lineRule="auto"/>
    </w:pPr>
  </w:style>
  <w:style w:type="character" w:styleId="1435" w:customStyle="1">
    <w:name w:val="Основной текст 2 Знак"/>
    <w:basedOn w:val="1126"/>
    <w:link w:val="1434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36">
    <w:name w:val="Table Grid"/>
    <w:basedOn w:val="1127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37" w:customStyle="1">
    <w:name w:val="Iniiaiie oaeno"/>
    <w:basedOn w:val="1116"/>
    <w:uiPriority w:val="99"/>
    <w:pPr>
      <w:jc w:val="center"/>
      <w:spacing w:after="0"/>
    </w:pPr>
    <w:rPr>
      <w:rFonts w:ascii="Arial" w:hAnsi="Arial" w:cs="Arial"/>
    </w:rPr>
  </w:style>
  <w:style w:type="paragraph" w:styleId="1438" w:customStyle="1">
    <w:name w:val="Абзац списка1"/>
    <w:basedOn w:val="1116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439" w:customStyle="1">
    <w:name w:val="Таблицы (моноширинный)"/>
    <w:basedOn w:val="1116"/>
    <w:next w:val="1116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paragraph" w:styleId="1440" w:customStyle="1">
    <w:name w:val="Подподпункт"/>
    <w:basedOn w:val="1413"/>
    <w:link w:val="1441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character" w:styleId="1441" w:customStyle="1">
    <w:name w:val="Подподпункт Знак"/>
    <w:basedOn w:val="1126"/>
    <w:link w:val="1440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442" w:customStyle="1">
    <w:name w:val="Пункт-3"/>
    <w:basedOn w:val="1116"/>
    <w:link w:val="1443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443" w:customStyle="1">
    <w:name w:val="Пункт-3 Знак"/>
    <w:link w:val="1442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444" w:customStyle="1">
    <w:name w:val="Основной текст (3)_"/>
    <w:basedOn w:val="1126"/>
    <w:link w:val="1445"/>
    <w:rPr>
      <w:b/>
      <w:bCs/>
      <w:shd w:val="clear" w:color="auto" w:fill="ffffff"/>
    </w:rPr>
  </w:style>
  <w:style w:type="paragraph" w:styleId="1445" w:customStyle="1">
    <w:name w:val="Основной текст (3)"/>
    <w:basedOn w:val="1116"/>
    <w:link w:val="1444"/>
    <w:pPr>
      <w:ind w:firstLine="709"/>
      <w:jc w:val="center"/>
      <w:spacing w:after="0"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paragraph" w:styleId="1446" w:customStyle="1">
    <w:name w:val="Default"/>
    <w:link w:val="1475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447" w:customStyle="1">
    <w:name w:val="Пункт-4"/>
    <w:basedOn w:val="1116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448" w:customStyle="1">
    <w:name w:val="комментарий"/>
    <w:rPr>
      <w:i/>
      <w:u w:val="none"/>
      <w:shd w:val="clear" w:color="auto" w:fill="ffff99"/>
    </w:rPr>
  </w:style>
  <w:style w:type="paragraph" w:styleId="1449" w:customStyle="1">
    <w:name w:val="Ариал"/>
    <w:basedOn w:val="1116"/>
    <w:link w:val="1450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450" w:customStyle="1">
    <w:name w:val="Ариал Знак1"/>
    <w:link w:val="1449"/>
    <w:rPr>
      <w:rFonts w:ascii="Arial" w:hAnsi="Arial" w:eastAsia="Times New Roman" w:cs="Times New Roman"/>
      <w:sz w:val="24"/>
      <w:szCs w:val="20"/>
    </w:rPr>
  </w:style>
  <w:style w:type="paragraph" w:styleId="1451" w:customStyle="1">
    <w:name w:val="Цитата1"/>
    <w:basedOn w:val="1116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452" w:customStyle="1">
    <w:name w:val="Заголовок_1"/>
    <w:basedOn w:val="1116"/>
    <w:uiPriority w:val="99"/>
    <w:pPr>
      <w:numPr>
        <w:ilvl w:val="0"/>
        <w:numId w:val="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453" w:customStyle="1">
    <w:name w:val="Пункт_3"/>
    <w:basedOn w:val="1116"/>
    <w:uiPriority w:val="99"/>
    <w:pPr>
      <w:numPr>
        <w:ilvl w:val="2"/>
        <w:numId w:val="6"/>
      </w:numPr>
      <w:spacing w:after="0"/>
    </w:pPr>
    <w:rPr>
      <w:sz w:val="28"/>
      <w:szCs w:val="28"/>
    </w:rPr>
  </w:style>
  <w:style w:type="paragraph" w:styleId="1454" w:customStyle="1">
    <w:name w:val="Пункт_2"/>
    <w:basedOn w:val="1116"/>
    <w:uiPriority w:val="99"/>
    <w:pPr>
      <w:numPr>
        <w:ilvl w:val="1"/>
        <w:numId w:val="6"/>
      </w:numPr>
      <w:spacing w:after="0"/>
    </w:pPr>
    <w:rPr>
      <w:sz w:val="28"/>
      <w:szCs w:val="20"/>
    </w:rPr>
  </w:style>
  <w:style w:type="paragraph" w:styleId="1455" w:customStyle="1">
    <w:name w:val="Пункт_5"/>
    <w:basedOn w:val="1453"/>
    <w:uiPriority w:val="99"/>
    <w:pPr>
      <w:numPr>
        <w:ilvl w:val="4"/>
      </w:numPr>
    </w:pPr>
  </w:style>
  <w:style w:type="paragraph" w:styleId="1456">
    <w:name w:val="Caption"/>
    <w:basedOn w:val="1116"/>
    <w:next w:val="1116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1457" w:customStyle="1">
    <w:name w:val="Times 12"/>
    <w:basedOn w:val="1116"/>
    <w:pPr>
      <w:ind w:firstLine="567"/>
      <w:spacing w:after="0"/>
    </w:pPr>
    <w:rPr>
      <w:bCs/>
      <w:szCs w:val="22"/>
    </w:rPr>
  </w:style>
  <w:style w:type="paragraph" w:styleId="1458" w:customStyle="1">
    <w:name w:val="FTN_txt"/>
    <w:basedOn w:val="1116"/>
    <w:pPr>
      <w:numPr>
        <w:ilvl w:val="1"/>
        <w:numId w:val="12"/>
      </w:numPr>
      <w:spacing w:after="0" w:line="288" w:lineRule="auto"/>
      <w:widowControl w:val="off"/>
      <w:tabs>
        <w:tab w:val="left" w:pos="1080" w:leader="none"/>
      </w:tabs>
    </w:pPr>
    <w:rPr>
      <w:rFonts w:eastAsia="Arial Unicode MS"/>
    </w:rPr>
  </w:style>
  <w:style w:type="paragraph" w:styleId="1459" w:customStyle="1">
    <w:name w:val="[Ростех] Простой текст (Без уровня)"/>
    <w:link w:val="1460"/>
    <w:uiPriority w:val="99"/>
    <w:qFormat/>
    <w:pPr>
      <w:jc w:val="both"/>
      <w:spacing w:before="120" w:after="0" w:line="240" w:lineRule="auto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60" w:customStyle="1">
    <w:name w:val="[Ростех] Простой текст (Без уровня) Знак"/>
    <w:basedOn w:val="1126"/>
    <w:link w:val="1459"/>
    <w:uiPriority w:val="99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61" w:customStyle="1">
    <w:name w:val="[Ростех] Текст Подпункта (Уровень 5)"/>
    <w:link w:val="1462"/>
    <w:uiPriority w:val="99"/>
    <w:qFormat/>
    <w:pPr>
      <w:jc w:val="both"/>
      <w:spacing w:before="120" w:after="0" w:line="240" w:lineRule="auto"/>
      <w:outlineLvl w:val="4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62" w:customStyle="1">
    <w:name w:val="[Ростех] Текст Подпункта (Уровень 5) Знак"/>
    <w:basedOn w:val="1126"/>
    <w:link w:val="1461"/>
    <w:uiPriority w:val="99"/>
    <w:qFormat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63" w:customStyle="1">
    <w:name w:val="[Ростех] Текст Подпункта (следующий абзац) (Уровень 4)"/>
    <w:link w:val="1464"/>
    <w:qFormat/>
    <w:pPr>
      <w:ind w:left="1134"/>
      <w:jc w:val="both"/>
      <w:spacing w:before="120" w:after="0" w:line="240" w:lineRule="auto"/>
      <w:outlineLvl w:val="3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64" w:customStyle="1">
    <w:name w:val="[Ростех] Текст Подпункта (следующий абзац) (Уровень 4) Знак"/>
    <w:basedOn w:val="1126"/>
    <w:link w:val="1463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65" w:customStyle="1">
    <w:name w:val="Пункт б/н"/>
    <w:basedOn w:val="1116"/>
    <w:pPr>
      <w:ind w:firstLine="567"/>
      <w:spacing w:after="0" w:line="360" w:lineRule="auto"/>
      <w:tabs>
        <w:tab w:val="left" w:pos="1134" w:leader="none"/>
      </w:tabs>
    </w:pPr>
    <w:rPr>
      <w:sz w:val="28"/>
      <w:szCs w:val="20"/>
    </w:rPr>
  </w:style>
  <w:style w:type="paragraph" w:styleId="1466" w:customStyle="1">
    <w:name w:val="Основной текст 22"/>
    <w:basedOn w:val="1116"/>
    <w:pPr>
      <w:ind w:firstLine="567"/>
      <w:jc w:val="left"/>
      <w:spacing w:after="0"/>
    </w:pPr>
    <w:rPr>
      <w:szCs w:val="20"/>
    </w:rPr>
  </w:style>
  <w:style w:type="character" w:styleId="1467">
    <w:name w:val="Placeholder Text"/>
    <w:basedOn w:val="1126"/>
    <w:uiPriority w:val="99"/>
    <w:semiHidden/>
    <w:rPr>
      <w:color w:val="808080"/>
    </w:rPr>
  </w:style>
  <w:style w:type="paragraph" w:styleId="1468" w:customStyle="1">
    <w:name w:val="_Маркер (номер) - с заголовком"/>
    <w:basedOn w:val="1116"/>
    <w:pPr>
      <w:jc w:val="left"/>
      <w:spacing w:before="240" w:line="360" w:lineRule="auto"/>
    </w:pPr>
    <w:rPr>
      <w:b/>
      <w:bCs/>
      <w:szCs w:val="20"/>
    </w:rPr>
  </w:style>
  <w:style w:type="table" w:styleId="1469" w:customStyle="1">
    <w:name w:val="Сетка таблицы1"/>
    <w:basedOn w:val="1127"/>
    <w:next w:val="143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70" w:customStyle="1">
    <w:name w:val="Неразрешенное упоминание1"/>
    <w:basedOn w:val="1126"/>
    <w:uiPriority w:val="99"/>
    <w:semiHidden/>
    <w:unhideWhenUsed/>
    <w:rPr>
      <w:color w:val="605e5c"/>
      <w:shd w:val="clear" w:color="auto" w:fill="e1dfdd"/>
    </w:rPr>
  </w:style>
  <w:style w:type="character" w:styleId="1471" w:customStyle="1">
    <w:name w:val="ConsPlusNormal Знак"/>
    <w:link w:val="1404"/>
    <w:rPr>
      <w:rFonts w:ascii="Arial" w:hAnsi="Arial" w:eastAsia="Times New Roman" w:cs="Arial"/>
      <w:sz w:val="20"/>
      <w:szCs w:val="20"/>
      <w:lang w:eastAsia="ru-RU"/>
    </w:rPr>
  </w:style>
  <w:style w:type="paragraph" w:styleId="1472" w:customStyle="1">
    <w:name w:val="Пункт_4"/>
    <w:basedOn w:val="1116"/>
    <w:link w:val="1473"/>
    <w:uiPriority w:val="99"/>
    <w:pPr>
      <w:spacing w:after="0"/>
    </w:pPr>
    <w:rPr>
      <w:sz w:val="28"/>
      <w:szCs w:val="20"/>
      <w:lang w:eastAsia="ko-KR"/>
    </w:rPr>
  </w:style>
  <w:style w:type="character" w:styleId="1473" w:customStyle="1">
    <w:name w:val="Пункт_4 Знак"/>
    <w:link w:val="1472"/>
    <w:uiPriority w:val="99"/>
    <w:rPr>
      <w:rFonts w:ascii="Times New Roman" w:hAnsi="Times New Roman" w:eastAsia="Times New Roman" w:cs="Times New Roman"/>
      <w:sz w:val="28"/>
      <w:szCs w:val="20"/>
      <w:lang w:eastAsia="ko-KR"/>
    </w:rPr>
  </w:style>
  <w:style w:type="table" w:styleId="1474" w:customStyle="1">
    <w:name w:val="Сетка таблицы2"/>
    <w:basedOn w:val="1127"/>
    <w:next w:val="143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75" w:customStyle="1">
    <w:name w:val="Default Знак"/>
    <w:link w:val="1446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476" w:customStyle="1">
    <w:name w:val="Нет"/>
  </w:style>
  <w:style w:type="character" w:styleId="1477" w:customStyle="1">
    <w:name w:val="Hyperlink.0"/>
    <w:basedOn w:val="1476"/>
  </w:style>
  <w:style w:type="character" w:styleId="1478" w:customStyle="1">
    <w:name w:val="Hyperlink.1"/>
    <w:rPr>
      <w:color w:val="0000ff"/>
      <w:u w:val="single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consultant.ru/document/cons_doc_LAW_116964/" TargetMode="External"/><Relationship Id="rId13" Type="http://schemas.openxmlformats.org/officeDocument/2006/relationships/hyperlink" Target="https://zakupki.gov.ru/epz/orderclause/card/common-info.html?orderClauseInfoId=967865" TargetMode="External"/><Relationship Id="rId14" Type="http://schemas.openxmlformats.org/officeDocument/2006/relationships/hyperlink" Target="http://www.consultant.ru/document/cons_doc_LAW_5142/" TargetMode="External"/><Relationship Id="rId15" Type="http://schemas.openxmlformats.org/officeDocument/2006/relationships/hyperlink" Target="https://zakupki.gov.ru/epz/orderclause/card/common-info.html?orderClauseInfoId=829138" TargetMode="External"/><Relationship Id="rId16" Type="http://schemas.openxmlformats.org/officeDocument/2006/relationships/hyperlink" Target="https://www.consultant.ru/document/cons_doc_LAW_421788/?ysclid=lh7gcn0ch0337012251" TargetMode="External"/><Relationship Id="rId17" Type="http://schemas.openxmlformats.org/officeDocument/2006/relationships/hyperlink" Target="https://www.consultant.ru/document/cons_doc_LAW_421788/?ysclid=lh7gd9qdev457426157" TargetMode="External"/><Relationship Id="rId18" Type="http://schemas.openxmlformats.org/officeDocument/2006/relationships/hyperlink" Target="http://www.consultant.ru/document/cons_doc_LAW_116964/" TargetMode="External"/><Relationship Id="rId19" Type="http://schemas.openxmlformats.org/officeDocument/2006/relationships/hyperlink" Target="https://www.consultant.ru/document/cons_doc_LAW_144624/?ysclid=lh7gqoclg7259684790" TargetMode="External"/><Relationship Id="rId20" Type="http://schemas.openxmlformats.org/officeDocument/2006/relationships/hyperlink" Target="https://zakupki.gov.ru/epz/orderclause/card/common-info.html?orderClauseInfoId=967865" TargetMode="External"/><Relationship Id="rId21" Type="http://schemas.openxmlformats.org/officeDocument/2006/relationships/hyperlink" Target="https://www.consultant.ru/document/cons_doc_LAW_494318/92d969e26a4326c5d02fa79b8f9cf4994ee5633b/" TargetMode="External"/><Relationship Id="rId22" Type="http://schemas.openxmlformats.org/officeDocument/2006/relationships/hyperlink" Target="https://www.rosseti-yantar.ru/about/politiks/antimonopolnyy-komplaens/" TargetMode="External"/><Relationship Id="rId23" Type="http://schemas.openxmlformats.org/officeDocument/2006/relationships/hyperlink" Target="file:///\\temp-fs.yantarenergo.ru\ia\&#1059;&#1050;&#1055;\&#1047;&#1040;&#1050;&#1056;&#1067;&#1058;&#1040;&#1071;\&#1058;&#1080;&#1087;&#1086;&#1074;&#1099;&#1077;%20&#1076;&#1086;&#1082;&#1091;&#1084;&#1077;&#1085;&#1090;&#1072;&#1094;&#1080;&#1080;\!&#1057;&#1088;&#1077;&#1076;&#1080;%20&#1074;&#1089;&#1077;&#1093;%202025\www.zakupki.gov.ru" TargetMode="External"/><Relationship Id="rId24" Type="http://schemas.openxmlformats.org/officeDocument/2006/relationships/hyperlink" Target="https://www.consultant.ru/document/cons_doc_LAW_5142/03edc46b2ef855fddfaaa3d77dac1d071ef3dba1/" TargetMode="External"/><Relationship Id="rId25" Type="http://schemas.openxmlformats.org/officeDocument/2006/relationships/hyperlink" Target="https://www.consultant.ru/document/cons_doc_LAW_5142/e8b1dba1c6def4f632470a9857908caf60fec137/" TargetMode="External"/><Relationship Id="rId26" Type="http://schemas.openxmlformats.org/officeDocument/2006/relationships/hyperlink" Target="https://www.consultant.ru/document/cons_doc_LAW_144624/af90cad46f4484d18fa490ef1c9d7a3b2fd3be3b/" TargetMode="External"/><Relationship Id="rId27" Type="http://schemas.openxmlformats.org/officeDocument/2006/relationships/hyperlink" Target="https://www.consultant.ru/document/cons_doc_LAW_494318/92d969e26a4326c5d02fa79b8f9cf4994ee5633b/" TargetMode="External"/><Relationship Id="rId28" Type="http://schemas.openxmlformats.org/officeDocument/2006/relationships/hyperlink" Target="https://www.consultant.ru/document/cons_doc_LAW_494318/92d969e26a4326c5d02fa79b8f9cf4994ee5633b/" TargetMode="External"/><Relationship Id="rId29" Type="http://schemas.openxmlformats.org/officeDocument/2006/relationships/hyperlink" Target="https://www.consultant.ru/document/cons_doc_LAW_5142/03edc46b2ef855fddfaaa3d77dac1d071ef3dba1/" TargetMode="External"/><Relationship Id="rId30" Type="http://schemas.openxmlformats.org/officeDocument/2006/relationships/hyperlink" Target="https://www.consultant.ru/document/cons_doc_LAW_5142/e8b1dba1c6def4f632470a9857908caf60fec137/" TargetMode="External"/><Relationship Id="rId31" Type="http://schemas.openxmlformats.org/officeDocument/2006/relationships/hyperlink" Target="https://www.consultant.ru/document/cons_doc_LAW_144624/af90cad46f4484d18fa490ef1c9d7a3b2fd3be3b/" TargetMode="External"/><Relationship Id="rId32" Type="http://schemas.openxmlformats.org/officeDocument/2006/relationships/hyperlink" Target="https://zakupki.gov.ru/epz/orderclause/card/common-info.html?orderClauseInfoId=967865" TargetMode="External"/><Relationship Id="rId33" Type="http://schemas.openxmlformats.org/officeDocument/2006/relationships/hyperlink" Target="https://www.consultant.ru/document/cons_doc_LAW_494318/92d969e26a4326c5d02fa79b8f9cf4994ee5633b/" TargetMode="External"/><Relationship Id="rId34" Type="http://schemas.openxmlformats.org/officeDocument/2006/relationships/hyperlink" Target="https://www.consultant.ru/document/cons_doc_LAW_494318/92d969e26a4326c5d02fa79b8f9cf4994ee5633b/" TargetMode="External"/><Relationship Id="rId35" Type="http://schemas.openxmlformats.org/officeDocument/2006/relationships/hyperlink" Target="http://Chegolya-AV@Rosseti-Yantar.ru" TargetMode="External"/><Relationship Id="rId36" Type="http://schemas.openxmlformats.org/officeDocument/2006/relationships/hyperlink" Target="http://Arefeva-MA@Rosseti-Yantar.Ru" TargetMode="External"/><Relationship Id="rId37" Type="http://schemas.openxmlformats.org/officeDocument/2006/relationships/hyperlink" Target="file:///C:\Users\&#1040;&#1083;&#1080;&#1085;&#1072;\Downloads\www.zakupki.gov.ru" TargetMode="External"/><Relationship Id="rId38" Type="http://schemas.openxmlformats.org/officeDocument/2006/relationships/hyperlink" Target="https://tender.lot-online.ru" TargetMode="External"/><Relationship Id="rId39" Type="http://schemas.openxmlformats.org/officeDocument/2006/relationships/hyperlink" Target="http://fssprus.ru/" TargetMode="External"/><Relationship Id="rId40" Type="http://schemas.openxmlformats.org/officeDocument/2006/relationships/hyperlink" Target="http://www.consultant.ru/document/cons_doc_LAW_34661/f61ff313afecf81a91a43d729c2df55c1d6a1533/" TargetMode="External"/><Relationship Id="rId41" Type="http://schemas.openxmlformats.org/officeDocument/2006/relationships/hyperlink" Target="https://zakupki.gov.ru/epz/dishonestsupplier/search/results.html" TargetMode="External"/><Relationship Id="rId42" Type="http://schemas.openxmlformats.org/officeDocument/2006/relationships/hyperlink" Target="https://www.consultant.ru/document/cons_doc_LAW_116964/a3b63487ad7d07ce045a07b0f1e7a9d9b064de95/?ysclid=lgq77170fl163638946" TargetMode="External"/><Relationship Id="rId43" Type="http://schemas.openxmlformats.org/officeDocument/2006/relationships/hyperlink" Target="https://zakupki.gov.ru/epz/dishonestsupplier/search/results.html" TargetMode="External"/><Relationship Id="rId44" Type="http://schemas.openxmlformats.org/officeDocument/2006/relationships/hyperlink" Target="https://www.consultant.ru/document/cons_doc_LAW_144624/af90cad46f4484d18fa490ef1c9d7a3b2fd3be3b/" TargetMode="External"/><Relationship Id="rId45" Type="http://schemas.openxmlformats.org/officeDocument/2006/relationships/hyperlink" Target="https://minjust.gov.ru/ru/activity/directions/998/" TargetMode="External"/><Relationship Id="rId46" Type="http://schemas.openxmlformats.org/officeDocument/2006/relationships/hyperlink" Target="https://www.consultant.ru/document/cons_doc_LAW_421788/?ysclid=lg20fc4h7v470804950" TargetMode="External"/><Relationship Id="rId47" Type="http://schemas.openxmlformats.org/officeDocument/2006/relationships/hyperlink" Target="https://www.consultant.ru/document/cons_doc_LAW_51040/f651879e0acd4680a6fdc29f983536624055cbcc/?ysclid=lh7dhcp1aq961991988" TargetMode="External"/><Relationship Id="rId48" Type="http://schemas.openxmlformats.org/officeDocument/2006/relationships/hyperlink" Target="https://nopriz.ru/" TargetMode="External"/><Relationship Id="rId49" Type="http://schemas.openxmlformats.org/officeDocument/2006/relationships/hyperlink" Target="https://www.consultant.ru/document/cons_doc_LAW_51040/b884020ea7453099ba8bc9ca021b84982cadea7d/?ysclid=lh7dkmbcyr186717647" TargetMode="External"/><Relationship Id="rId50" Type="http://schemas.openxmlformats.org/officeDocument/2006/relationships/hyperlink" Target="https://nopriz.ru/" TargetMode="External"/><Relationship Id="rId51" Type="http://schemas.openxmlformats.org/officeDocument/2006/relationships/hyperlink" Target="https://www.consultant.ru/document/cons_doc_LAW_51040/df32b8231cf067c4d4e864c717eb6b398358b504/?ysclid=lh7dmiyi73943741650" TargetMode="External"/><Relationship Id="rId52" Type="http://schemas.openxmlformats.org/officeDocument/2006/relationships/hyperlink" Target="https://nostroy.ru/" TargetMode="External"/><Relationship Id="rId53" Type="http://schemas.openxmlformats.org/officeDocument/2006/relationships/hyperlink" Target="https://service.nalog.ru/vyp/" TargetMode="External"/><Relationship Id="rId54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hyperlink" Target="consultantplus://offline/ref=B7E04B8F5BC345C22463EADCAE81D93CF4CA1215A36F6052F6BC85F6f9C8L" TargetMode="External"/><Relationship Id="rId57" Type="http://schemas.openxmlformats.org/officeDocument/2006/relationships/image" Target="media/image1.emf"/><Relationship Id="rId58" Type="http://schemas.openxmlformats.org/officeDocument/2006/relationships/hyperlink" Target="https://rosseti-yantar.ru/about/antikorruptsionnaya-politika/" TargetMode="External"/><Relationship Id="rId59" Type="http://schemas.openxmlformats.org/officeDocument/2006/relationships/hyperlink" Target="http://www.rosseti.ru/about/contacts/opin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cbr.ru/credit/." TargetMode="External"/><Relationship Id="rId2" Type="http://schemas.openxmlformats.org/officeDocument/2006/relationships/hyperlink" Target="https://www.cbr.ru/analytics/strform/." TargetMode="External"/><Relationship Id="rId3" Type="http://schemas.openxmlformats.org/officeDocument/2006/relationships/hyperlink" Target="http://www.asv.org.ru/guide/bank/" TargetMode="External"/><Relationship Id="rId4" Type="http://schemas.openxmlformats.org/officeDocument/2006/relationships/hyperlink" Target="http://www.cbr.ru/credit/." TargetMode="External"/><Relationship Id="rId5" Type="http://schemas.openxmlformats.org/officeDocument/2006/relationships/hyperlink" Target="http://www.cbr.ru/credit/" TargetMode="External"/><Relationship Id="rId6" Type="http://schemas.openxmlformats.org/officeDocument/2006/relationships/hyperlink" Target="http://www.cbr.ru/credit/." TargetMode="External"/><Relationship Id="rId7" Type="http://schemas.openxmlformats.org/officeDocument/2006/relationships/hyperlink" Target="https://www.cbr.ru/analytics/strform/." TargetMode="External"/><Relationship Id="rId8" Type="http://schemas.openxmlformats.org/officeDocument/2006/relationships/hyperlink" Target="http://www.asv.org.ru/guide/bank/" TargetMode="External"/><Relationship Id="rId9" Type="http://schemas.openxmlformats.org/officeDocument/2006/relationships/hyperlink" Target="http://www.cbr.ru/credit/." TargetMode="External"/><Relationship Id="rId10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F89D2-6C29-4941-B88C-7627AD3A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Куманев Валентин Олегович</dc:creator>
  <cp:keywords/>
  <dc:description/>
  <cp:revision>20</cp:revision>
  <dcterms:created xsi:type="dcterms:W3CDTF">2020-03-31T12:58:00Z</dcterms:created>
  <dcterms:modified xsi:type="dcterms:W3CDTF">2026-06-04T10:25:33Z</dcterms:modified>
</cp:coreProperties>
</file>